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45" w:rsidRPr="00463A05" w:rsidRDefault="00354863" w:rsidP="00354863">
      <w:pPr>
        <w:tabs>
          <w:tab w:val="left" w:pos="90"/>
        </w:tabs>
        <w:spacing w:line="360" w:lineRule="auto"/>
        <w:ind w:left="86" w:hanging="86"/>
        <w:jc w:val="both"/>
        <w:rPr>
          <w:rFonts w:ascii="Bookman Old Style" w:hAnsi="Bookman Old Style"/>
          <w:sz w:val="26"/>
          <w:szCs w:val="26"/>
        </w:rPr>
      </w:pPr>
      <w:r w:rsidRPr="00463A05">
        <w:rPr>
          <w:sz w:val="26"/>
          <w:szCs w:val="26"/>
        </w:rPr>
        <w:tab/>
      </w:r>
      <w:r w:rsidR="007D2A7F" w:rsidRPr="00463A05">
        <w:rPr>
          <w:rFonts w:ascii="Bookman Old Style" w:hAnsi="Bookman Old Style"/>
          <w:sz w:val="26"/>
          <w:szCs w:val="26"/>
        </w:rPr>
        <w:t>Where there is</w:t>
      </w:r>
      <w:r w:rsidR="009E2953" w:rsidRPr="00463A05">
        <w:rPr>
          <w:rFonts w:ascii="Bookman Old Style" w:hAnsi="Bookman Old Style"/>
          <w:sz w:val="26"/>
          <w:szCs w:val="26"/>
        </w:rPr>
        <w:t xml:space="preserve"> evidence </w:t>
      </w:r>
      <w:r w:rsidR="007D2A7F" w:rsidRPr="00463A05">
        <w:rPr>
          <w:rFonts w:ascii="Bookman Old Style" w:hAnsi="Bookman Old Style"/>
          <w:sz w:val="26"/>
          <w:szCs w:val="26"/>
        </w:rPr>
        <w:t xml:space="preserve">of </w:t>
      </w:r>
      <w:r w:rsidR="00A135D6" w:rsidRPr="00463A05">
        <w:rPr>
          <w:rFonts w:ascii="Bookman Old Style" w:hAnsi="Bookman Old Style"/>
          <w:sz w:val="26"/>
          <w:szCs w:val="26"/>
        </w:rPr>
        <w:t xml:space="preserve">more than one </w:t>
      </w:r>
      <w:r w:rsidR="007D2A7F" w:rsidRPr="00463A05">
        <w:rPr>
          <w:rFonts w:ascii="Bookman Old Style" w:hAnsi="Bookman Old Style"/>
          <w:sz w:val="26"/>
          <w:szCs w:val="26"/>
        </w:rPr>
        <w:t>ac</w:t>
      </w:r>
      <w:r w:rsidR="009E2953" w:rsidRPr="00463A05">
        <w:rPr>
          <w:rFonts w:ascii="Bookman Old Style" w:hAnsi="Bookman Old Style"/>
          <w:sz w:val="26"/>
          <w:szCs w:val="26"/>
        </w:rPr>
        <w:t>t</w:t>
      </w:r>
      <w:r w:rsidR="00281F32" w:rsidRPr="00463A05">
        <w:rPr>
          <w:rFonts w:ascii="Bookman Old Style" w:hAnsi="Bookman Old Style"/>
          <w:sz w:val="26"/>
          <w:szCs w:val="26"/>
        </w:rPr>
        <w:t xml:space="preserve"> [or omission]</w:t>
      </w:r>
      <w:r w:rsidR="009E2953" w:rsidRPr="00463A05">
        <w:rPr>
          <w:rFonts w:ascii="Bookman Old Style" w:hAnsi="Bookman Old Style"/>
          <w:sz w:val="26"/>
          <w:szCs w:val="26"/>
        </w:rPr>
        <w:t xml:space="preserve"> that could support a single count of [</w:t>
      </w:r>
      <w:r w:rsidR="007D2A7F" w:rsidRPr="00463A05">
        <w:rPr>
          <w:rFonts w:ascii="Bookman Old Style" w:hAnsi="Bookman Old Style"/>
          <w:sz w:val="26"/>
          <w:szCs w:val="26"/>
        </w:rPr>
        <w:t>name of crime], i</w:t>
      </w:r>
      <w:r w:rsidR="009E2953" w:rsidRPr="00463A05">
        <w:rPr>
          <w:rFonts w:ascii="Bookman Old Style" w:hAnsi="Bookman Old Style"/>
          <w:sz w:val="26"/>
          <w:szCs w:val="26"/>
        </w:rPr>
        <w:t xml:space="preserve">n order to return a verdict of guilty on </w:t>
      </w:r>
      <w:r w:rsidR="007D2A7F" w:rsidRPr="00463A05">
        <w:rPr>
          <w:rFonts w:ascii="Bookman Old Style" w:hAnsi="Bookman Old Style"/>
          <w:sz w:val="26"/>
          <w:szCs w:val="26"/>
        </w:rPr>
        <w:t>that</w:t>
      </w:r>
      <w:r w:rsidR="009E2953" w:rsidRPr="00463A05">
        <w:rPr>
          <w:rFonts w:ascii="Bookman Old Style" w:hAnsi="Bookman Old Style"/>
          <w:sz w:val="26"/>
          <w:szCs w:val="26"/>
        </w:rPr>
        <w:t xml:space="preserve"> count</w:t>
      </w:r>
      <w:bookmarkStart w:id="0" w:name="_GoBack"/>
      <w:bookmarkEnd w:id="0"/>
      <w:r w:rsidR="009E2953" w:rsidRPr="00463A05">
        <w:rPr>
          <w:rFonts w:ascii="Bookman Old Style" w:hAnsi="Bookman Old Style"/>
          <w:sz w:val="26"/>
          <w:szCs w:val="26"/>
        </w:rPr>
        <w:t xml:space="preserve">, </w:t>
      </w:r>
      <w:r w:rsidR="007D2A7F" w:rsidRPr="00463A05">
        <w:rPr>
          <w:rFonts w:ascii="Bookman Old Style" w:hAnsi="Bookman Old Style"/>
          <w:sz w:val="26"/>
          <w:szCs w:val="26"/>
        </w:rPr>
        <w:t>the jury</w:t>
      </w:r>
      <w:r w:rsidR="009E2953" w:rsidRPr="00463A05">
        <w:rPr>
          <w:rFonts w:ascii="Bookman Old Style" w:hAnsi="Bookman Old Style"/>
          <w:sz w:val="26"/>
          <w:szCs w:val="26"/>
        </w:rPr>
        <w:t xml:space="preserve"> must be unanimous as t</w:t>
      </w:r>
      <w:r w:rsidR="00AA7E45" w:rsidRPr="00463A05">
        <w:rPr>
          <w:rFonts w:ascii="Bookman Old Style" w:hAnsi="Bookman Old Style"/>
          <w:sz w:val="26"/>
          <w:szCs w:val="26"/>
        </w:rPr>
        <w:t xml:space="preserve">o the specific </w:t>
      </w:r>
      <w:r w:rsidR="00281F32" w:rsidRPr="00463A05">
        <w:rPr>
          <w:rFonts w:ascii="Bookman Old Style" w:hAnsi="Bookman Old Style"/>
          <w:sz w:val="26"/>
          <w:szCs w:val="26"/>
        </w:rPr>
        <w:t xml:space="preserve">conduct </w:t>
      </w:r>
      <w:r w:rsidR="00AA7E45" w:rsidRPr="00463A05">
        <w:rPr>
          <w:rFonts w:ascii="Bookman Old Style" w:hAnsi="Bookman Old Style"/>
          <w:sz w:val="26"/>
          <w:szCs w:val="26"/>
        </w:rPr>
        <w:t>that has</w:t>
      </w:r>
      <w:r w:rsidR="007D2A7F" w:rsidRPr="00463A05">
        <w:rPr>
          <w:rFonts w:ascii="Bookman Old Style" w:hAnsi="Bookman Old Style"/>
          <w:sz w:val="26"/>
          <w:szCs w:val="26"/>
        </w:rPr>
        <w:t xml:space="preserve"> been proven</w:t>
      </w:r>
      <w:r w:rsidR="009E2953" w:rsidRPr="00463A05">
        <w:rPr>
          <w:rFonts w:ascii="Bookman Old Style" w:hAnsi="Bookman Old Style"/>
          <w:sz w:val="26"/>
          <w:szCs w:val="26"/>
        </w:rPr>
        <w:t xml:space="preserve"> beyond a reasonable doubt.</w:t>
      </w:r>
    </w:p>
    <w:p w:rsidR="00354863" w:rsidRDefault="00354863" w:rsidP="00354863">
      <w:pPr>
        <w:tabs>
          <w:tab w:val="left" w:pos="90"/>
        </w:tabs>
        <w:spacing w:line="360" w:lineRule="auto"/>
        <w:ind w:left="86" w:hanging="86"/>
        <w:jc w:val="both"/>
        <w:rPr>
          <w:rFonts w:ascii="Bookman Old Style" w:hAnsi="Bookman Old Style"/>
          <w:sz w:val="24"/>
          <w:szCs w:val="24"/>
        </w:rPr>
      </w:pPr>
    </w:p>
    <w:p w:rsidR="00354863" w:rsidRDefault="00354863" w:rsidP="00354863">
      <w:pPr>
        <w:tabs>
          <w:tab w:val="left" w:pos="90"/>
        </w:tabs>
        <w:spacing w:line="360" w:lineRule="auto"/>
        <w:ind w:left="86" w:hanging="86"/>
        <w:jc w:val="both"/>
        <w:rPr>
          <w:rFonts w:ascii="Bookman Old Style" w:hAnsi="Bookman Old Style"/>
          <w:sz w:val="24"/>
          <w:szCs w:val="24"/>
        </w:rPr>
      </w:pPr>
    </w:p>
    <w:p w:rsidR="00354863" w:rsidRPr="00354863" w:rsidRDefault="00354863" w:rsidP="00354863">
      <w:pPr>
        <w:tabs>
          <w:tab w:val="left" w:pos="90"/>
        </w:tabs>
        <w:spacing w:line="360" w:lineRule="auto"/>
        <w:ind w:left="86" w:hanging="86"/>
        <w:jc w:val="both"/>
        <w:rPr>
          <w:rFonts w:ascii="Bookman Old Style" w:hAnsi="Bookman Old Style"/>
          <w:sz w:val="24"/>
          <w:szCs w:val="24"/>
        </w:rPr>
      </w:pPr>
    </w:p>
    <w:p w:rsidR="00872F7B" w:rsidRDefault="00872F7B" w:rsidP="007D2A7F">
      <w:pPr>
        <w:tabs>
          <w:tab w:val="left" w:pos="90"/>
        </w:tabs>
        <w:ind w:left="90" w:hanging="90"/>
        <w:jc w:val="both"/>
        <w:rPr>
          <w:sz w:val="26"/>
          <w:szCs w:val="26"/>
        </w:rPr>
      </w:pPr>
    </w:p>
    <w:p w:rsidR="009E2953" w:rsidRPr="00354863" w:rsidRDefault="009E2953" w:rsidP="00A73807">
      <w:pPr>
        <w:tabs>
          <w:tab w:val="left" w:pos="90"/>
        </w:tabs>
        <w:spacing w:line="480" w:lineRule="auto"/>
        <w:ind w:left="90" w:hanging="90"/>
        <w:jc w:val="center"/>
        <w:rPr>
          <w:rFonts w:ascii="Bookman Old Style" w:hAnsi="Bookman Old Style"/>
          <w:b/>
          <w:sz w:val="26"/>
          <w:szCs w:val="26"/>
        </w:rPr>
      </w:pPr>
      <w:r w:rsidRPr="00354863">
        <w:rPr>
          <w:rFonts w:ascii="Bookman Old Style" w:hAnsi="Bookman Old Style"/>
          <w:b/>
          <w:sz w:val="26"/>
          <w:szCs w:val="26"/>
        </w:rPr>
        <w:t>USE NOTE</w:t>
      </w:r>
    </w:p>
    <w:p w:rsidR="00AA7E45" w:rsidRPr="00463A05" w:rsidRDefault="009E2953" w:rsidP="007E0A99">
      <w:pPr>
        <w:tabs>
          <w:tab w:val="left" w:pos="0"/>
        </w:tabs>
        <w:contextualSpacing/>
        <w:jc w:val="both"/>
        <w:rPr>
          <w:rFonts w:ascii="Bookman Old Style" w:hAnsi="Bookman Old Style"/>
          <w:i/>
          <w:sz w:val="26"/>
          <w:szCs w:val="26"/>
        </w:rPr>
      </w:pPr>
      <w:r w:rsidRPr="00463A05">
        <w:rPr>
          <w:rFonts w:ascii="Bookman Old Style" w:hAnsi="Bookman Old Style"/>
          <w:sz w:val="26"/>
          <w:szCs w:val="26"/>
        </w:rPr>
        <w:t xml:space="preserve">This instruction implements the rule set forth in </w:t>
      </w:r>
      <w:r w:rsidRPr="00463A05">
        <w:rPr>
          <w:rFonts w:ascii="Bookman Old Style" w:hAnsi="Bookman Old Style"/>
          <w:sz w:val="26"/>
          <w:szCs w:val="26"/>
          <w:u w:val="single"/>
        </w:rPr>
        <w:t>Covington v. State</w:t>
      </w:r>
      <w:r w:rsidRPr="00463A05">
        <w:rPr>
          <w:rFonts w:ascii="Bookman Old Style" w:hAnsi="Bookman Old Style"/>
          <w:sz w:val="26"/>
          <w:szCs w:val="26"/>
        </w:rPr>
        <w:t xml:space="preserve">, </w:t>
      </w:r>
      <w:r w:rsidR="00463A05">
        <w:rPr>
          <w:rFonts w:ascii="Bookman Old Style" w:hAnsi="Bookman Old Style"/>
          <w:sz w:val="26"/>
          <w:szCs w:val="26"/>
        </w:rPr>
        <w:t xml:space="preserve">703 P.2d 436 (Alaska App. </w:t>
      </w:r>
      <w:r w:rsidR="00462BEC" w:rsidRPr="00463A05">
        <w:rPr>
          <w:rFonts w:ascii="Bookman Old Style" w:hAnsi="Bookman Old Style"/>
          <w:sz w:val="26"/>
          <w:szCs w:val="26"/>
        </w:rPr>
        <w:t>1985)</w:t>
      </w:r>
      <w:r w:rsidRPr="00463A05">
        <w:rPr>
          <w:rFonts w:ascii="Bookman Old Style" w:hAnsi="Bookman Old Style"/>
          <w:sz w:val="26"/>
          <w:szCs w:val="26"/>
        </w:rPr>
        <w:t>, which applies where the state</w:t>
      </w:r>
      <w:r w:rsidR="007E3ECE" w:rsidRPr="00463A05">
        <w:rPr>
          <w:rFonts w:ascii="Bookman Old Style" w:hAnsi="Bookman Old Style"/>
          <w:sz w:val="26"/>
          <w:szCs w:val="26"/>
        </w:rPr>
        <w:t>’s</w:t>
      </w:r>
      <w:r w:rsidRPr="00463A05">
        <w:rPr>
          <w:rFonts w:ascii="Bookman Old Style" w:hAnsi="Bookman Old Style"/>
          <w:sz w:val="26"/>
          <w:szCs w:val="26"/>
        </w:rPr>
        <w:t xml:space="preserve"> charges raise issues of duplicitous or </w:t>
      </w:r>
      <w:proofErr w:type="spellStart"/>
      <w:r w:rsidRPr="00463A05">
        <w:rPr>
          <w:rFonts w:ascii="Bookman Old Style" w:hAnsi="Bookman Old Style"/>
          <w:sz w:val="26"/>
          <w:szCs w:val="26"/>
        </w:rPr>
        <w:t>multiplicitous</w:t>
      </w:r>
      <w:proofErr w:type="spellEnd"/>
      <w:r w:rsidRPr="00463A05">
        <w:rPr>
          <w:rFonts w:ascii="Bookman Old Style" w:hAnsi="Bookman Old Style"/>
          <w:sz w:val="26"/>
          <w:szCs w:val="26"/>
        </w:rPr>
        <w:t xml:space="preserve"> counts.  </w:t>
      </w:r>
      <w:r w:rsidR="00AA7E45" w:rsidRPr="00463A05">
        <w:rPr>
          <w:rFonts w:ascii="Bookman Old Style" w:hAnsi="Bookman Old Style"/>
          <w:sz w:val="26"/>
          <w:szCs w:val="26"/>
        </w:rPr>
        <w:t>This instruction</w:t>
      </w:r>
      <w:r w:rsidR="00462BEC" w:rsidRPr="00463A05">
        <w:rPr>
          <w:rFonts w:ascii="Bookman Old Style" w:hAnsi="Bookman Old Style"/>
          <w:sz w:val="26"/>
          <w:szCs w:val="26"/>
        </w:rPr>
        <w:t xml:space="preserve"> addresses </w:t>
      </w:r>
      <w:r w:rsidR="002E4C42" w:rsidRPr="00463A05">
        <w:rPr>
          <w:rFonts w:ascii="Bookman Old Style" w:hAnsi="Bookman Old Style"/>
          <w:sz w:val="26"/>
          <w:szCs w:val="26"/>
        </w:rPr>
        <w:t>du</w:t>
      </w:r>
      <w:r w:rsidR="00463A05">
        <w:rPr>
          <w:rFonts w:ascii="Bookman Old Style" w:hAnsi="Bookman Old Style"/>
          <w:sz w:val="26"/>
          <w:szCs w:val="26"/>
        </w:rPr>
        <w:t>plicitous counts.</w:t>
      </w:r>
    </w:p>
    <w:p w:rsidR="00462BEC" w:rsidRPr="00463A05" w:rsidRDefault="00AA7E45" w:rsidP="007E0A99">
      <w:pPr>
        <w:tabs>
          <w:tab w:val="left" w:pos="0"/>
        </w:tabs>
        <w:contextualSpacing/>
        <w:jc w:val="both"/>
        <w:rPr>
          <w:rFonts w:ascii="Bookman Old Style" w:hAnsi="Bookman Old Style"/>
          <w:sz w:val="26"/>
          <w:szCs w:val="26"/>
        </w:rPr>
      </w:pPr>
      <w:r w:rsidRPr="00463A05">
        <w:rPr>
          <w:rFonts w:ascii="Bookman Old Style" w:hAnsi="Bookman Old Style"/>
          <w:sz w:val="26"/>
          <w:szCs w:val="26"/>
        </w:rPr>
        <w:t xml:space="preserve"> </w:t>
      </w:r>
    </w:p>
    <w:p w:rsidR="00AA7E45" w:rsidRPr="00463A05" w:rsidRDefault="009E2953" w:rsidP="007E0A99">
      <w:pPr>
        <w:tabs>
          <w:tab w:val="left" w:pos="0"/>
        </w:tabs>
        <w:contextualSpacing/>
        <w:jc w:val="both"/>
        <w:rPr>
          <w:rFonts w:ascii="Bookman Old Style" w:hAnsi="Bookman Old Style"/>
          <w:sz w:val="26"/>
          <w:szCs w:val="26"/>
        </w:rPr>
      </w:pPr>
      <w:r w:rsidRPr="00463A05">
        <w:rPr>
          <w:rFonts w:ascii="Bookman Old Style" w:hAnsi="Bookman Old Style"/>
          <w:sz w:val="26"/>
          <w:szCs w:val="26"/>
        </w:rPr>
        <w:t xml:space="preserve">A count is duplicitous if more than one </w:t>
      </w:r>
      <w:r w:rsidR="007D2A7F" w:rsidRPr="00463A05">
        <w:rPr>
          <w:rFonts w:ascii="Bookman Old Style" w:hAnsi="Bookman Old Style"/>
          <w:sz w:val="26"/>
          <w:szCs w:val="26"/>
        </w:rPr>
        <w:t xml:space="preserve">act or </w:t>
      </w:r>
      <w:r w:rsidRPr="00463A05">
        <w:rPr>
          <w:rFonts w:ascii="Bookman Old Style" w:hAnsi="Bookman Old Style"/>
          <w:sz w:val="26"/>
          <w:szCs w:val="26"/>
        </w:rPr>
        <w:t>incident could lead to a conviction on that count.</w:t>
      </w:r>
      <w:r w:rsidR="004F5AD0" w:rsidRPr="00463A05">
        <w:rPr>
          <w:rFonts w:ascii="Bookman Old Style" w:hAnsi="Bookman Old Style"/>
          <w:sz w:val="26"/>
          <w:szCs w:val="26"/>
        </w:rPr>
        <w:t xml:space="preserve"> </w:t>
      </w:r>
      <w:r w:rsidR="006172C6" w:rsidRPr="00463A05">
        <w:rPr>
          <w:rFonts w:ascii="Bookman Old Style" w:hAnsi="Bookman Old Style"/>
          <w:sz w:val="26"/>
          <w:szCs w:val="26"/>
        </w:rPr>
        <w:t xml:space="preserve">For example, in </w:t>
      </w:r>
      <w:r w:rsidR="004F5AD0" w:rsidRPr="00B43F59">
        <w:rPr>
          <w:rFonts w:ascii="Bookman Old Style" w:hAnsi="Bookman Old Style"/>
          <w:sz w:val="26"/>
          <w:szCs w:val="26"/>
          <w:u w:val="single"/>
        </w:rPr>
        <w:t>Hicks v. State</w:t>
      </w:r>
      <w:r w:rsidR="004F5AD0" w:rsidRPr="00B43F59">
        <w:rPr>
          <w:rFonts w:ascii="Bookman Old Style" w:hAnsi="Bookman Old Style"/>
          <w:sz w:val="26"/>
          <w:szCs w:val="26"/>
        </w:rPr>
        <w:t>,</w:t>
      </w:r>
      <w:r w:rsidR="00B43F59">
        <w:rPr>
          <w:rFonts w:ascii="Bookman Old Style" w:hAnsi="Bookman Old Style"/>
          <w:sz w:val="26"/>
          <w:szCs w:val="26"/>
        </w:rPr>
        <w:t xml:space="preserve"> Memorandum Opinion No. 10820, (Alaska App. January 16, 2013)</w:t>
      </w:r>
      <w:r w:rsidR="006172C6" w:rsidRPr="00463A05">
        <w:rPr>
          <w:rFonts w:ascii="Bookman Old Style" w:hAnsi="Bookman Old Style"/>
          <w:sz w:val="26"/>
          <w:szCs w:val="26"/>
        </w:rPr>
        <w:t xml:space="preserve">, </w:t>
      </w:r>
      <w:r w:rsidR="005612C7" w:rsidRPr="00463A05">
        <w:rPr>
          <w:rFonts w:ascii="Bookman Old Style" w:hAnsi="Bookman Old Style"/>
          <w:sz w:val="26"/>
          <w:szCs w:val="26"/>
        </w:rPr>
        <w:t>the driver</w:t>
      </w:r>
      <w:r w:rsidR="004F5AD0" w:rsidRPr="00463A05">
        <w:rPr>
          <w:rFonts w:ascii="Bookman Old Style" w:hAnsi="Bookman Old Style"/>
          <w:sz w:val="26"/>
          <w:szCs w:val="26"/>
        </w:rPr>
        <w:t xml:space="preserve"> drove to a location, then some minut</w:t>
      </w:r>
      <w:r w:rsidR="00A74042" w:rsidRPr="00463A05">
        <w:rPr>
          <w:rFonts w:ascii="Bookman Old Style" w:hAnsi="Bookman Old Style"/>
          <w:sz w:val="26"/>
          <w:szCs w:val="26"/>
        </w:rPr>
        <w:t>es later was seen by a trooper</w:t>
      </w:r>
      <w:r w:rsidR="005612C7" w:rsidRPr="00463A05">
        <w:rPr>
          <w:rFonts w:ascii="Bookman Old Style" w:hAnsi="Bookman Old Style"/>
          <w:sz w:val="26"/>
          <w:szCs w:val="26"/>
        </w:rPr>
        <w:t xml:space="preserve"> getting into a parked car in the driveway.  Two acts</w:t>
      </w:r>
      <w:r w:rsidR="004F5AD0" w:rsidRPr="00463A05">
        <w:rPr>
          <w:rFonts w:ascii="Bookman Old Style" w:hAnsi="Bookman Old Style"/>
          <w:sz w:val="26"/>
          <w:szCs w:val="26"/>
        </w:rPr>
        <w:t xml:space="preserve"> are described, but the jury must be unanimou</w:t>
      </w:r>
      <w:r w:rsidR="007D0447" w:rsidRPr="00463A05">
        <w:rPr>
          <w:rFonts w:ascii="Bookman Old Style" w:hAnsi="Bookman Old Style"/>
          <w:sz w:val="26"/>
          <w:szCs w:val="26"/>
        </w:rPr>
        <w:t>s in deciding which conduct supports the convic</w:t>
      </w:r>
      <w:r w:rsidR="004F5AD0" w:rsidRPr="00463A05">
        <w:rPr>
          <w:rFonts w:ascii="Bookman Old Style" w:hAnsi="Bookman Old Style"/>
          <w:sz w:val="26"/>
          <w:szCs w:val="26"/>
        </w:rPr>
        <w:t>tion.</w:t>
      </w:r>
      <w:r w:rsidRPr="00463A05">
        <w:rPr>
          <w:rFonts w:ascii="Bookman Old Style" w:hAnsi="Bookman Old Style"/>
          <w:sz w:val="26"/>
          <w:szCs w:val="26"/>
        </w:rPr>
        <w:t xml:space="preserve"> </w:t>
      </w:r>
      <w:r w:rsidR="007E0A99" w:rsidRPr="00463A05">
        <w:rPr>
          <w:rFonts w:ascii="Bookman Old Style" w:hAnsi="Bookman Old Style"/>
          <w:sz w:val="26"/>
          <w:szCs w:val="26"/>
        </w:rPr>
        <w:t xml:space="preserve"> </w:t>
      </w:r>
      <w:r w:rsidR="004F3E29" w:rsidRPr="00463A05">
        <w:rPr>
          <w:rFonts w:ascii="Bookman Old Style" w:hAnsi="Bookman Old Style"/>
          <w:sz w:val="26"/>
          <w:szCs w:val="26"/>
        </w:rPr>
        <w:t xml:space="preserve">As another </w:t>
      </w:r>
      <w:r w:rsidR="007E0A99" w:rsidRPr="00463A05">
        <w:rPr>
          <w:rFonts w:ascii="Bookman Old Style" w:hAnsi="Bookman Old Style"/>
          <w:sz w:val="26"/>
          <w:szCs w:val="26"/>
        </w:rPr>
        <w:t>example, suppose that the state indicts a defendant on Sexual Abuse of a Minor in the First Degree</w:t>
      </w:r>
      <w:r w:rsidR="00AA7E45" w:rsidRPr="00463A05">
        <w:rPr>
          <w:rFonts w:ascii="Bookman Old Style" w:hAnsi="Bookman Old Style"/>
          <w:sz w:val="26"/>
          <w:szCs w:val="26"/>
        </w:rPr>
        <w:t xml:space="preserve">, alleging that the abuse occurred </w:t>
      </w:r>
      <w:r w:rsidR="004F3E29" w:rsidRPr="00463A05">
        <w:rPr>
          <w:rFonts w:ascii="Bookman Old Style" w:hAnsi="Bookman Old Style"/>
          <w:sz w:val="26"/>
          <w:szCs w:val="26"/>
        </w:rPr>
        <w:t xml:space="preserve">during </w:t>
      </w:r>
      <w:r w:rsidR="00AA7E45" w:rsidRPr="00463A05">
        <w:rPr>
          <w:rFonts w:ascii="Bookman Old Style" w:hAnsi="Bookman Old Style"/>
          <w:sz w:val="26"/>
          <w:szCs w:val="26"/>
        </w:rPr>
        <w:t xml:space="preserve">a three month period of time.  </w:t>
      </w:r>
      <w:r w:rsidR="00D35F02" w:rsidRPr="00463A05">
        <w:rPr>
          <w:rFonts w:ascii="Bookman Old Style" w:hAnsi="Bookman Old Style"/>
          <w:sz w:val="26"/>
          <w:szCs w:val="26"/>
        </w:rPr>
        <w:t>If t</w:t>
      </w:r>
      <w:r w:rsidR="00AA7E45" w:rsidRPr="00463A05">
        <w:rPr>
          <w:rFonts w:ascii="Bookman Old Style" w:hAnsi="Bookman Old Style"/>
          <w:sz w:val="26"/>
          <w:szCs w:val="26"/>
        </w:rPr>
        <w:t xml:space="preserve">he evidence submitted by the state indicates that the </w:t>
      </w:r>
      <w:r w:rsidR="00D35F02" w:rsidRPr="00463A05">
        <w:rPr>
          <w:rFonts w:ascii="Bookman Old Style" w:hAnsi="Bookman Old Style"/>
          <w:sz w:val="26"/>
          <w:szCs w:val="26"/>
        </w:rPr>
        <w:t>abuse may have occurred</w:t>
      </w:r>
      <w:r w:rsidR="00AA7E45" w:rsidRPr="00463A05">
        <w:rPr>
          <w:rFonts w:ascii="Bookman Old Style" w:hAnsi="Bookman Old Style"/>
          <w:sz w:val="26"/>
          <w:szCs w:val="26"/>
        </w:rPr>
        <w:t xml:space="preserve"> several</w:t>
      </w:r>
      <w:r w:rsidR="00D35F02" w:rsidRPr="00463A05">
        <w:rPr>
          <w:rFonts w:ascii="Bookman Old Style" w:hAnsi="Bookman Old Style"/>
          <w:sz w:val="26"/>
          <w:szCs w:val="26"/>
        </w:rPr>
        <w:t xml:space="preserve"> times during that three-month period, then that charge could be seen as duplicitous.</w:t>
      </w:r>
      <w:r w:rsidR="004F5AD0" w:rsidRPr="00463A05">
        <w:rPr>
          <w:rFonts w:ascii="Bookman Old Style" w:hAnsi="Bookman Old Style"/>
          <w:sz w:val="26"/>
          <w:szCs w:val="26"/>
        </w:rPr>
        <w:t xml:space="preserve">  </w:t>
      </w:r>
    </w:p>
    <w:p w:rsidR="00AA7E45" w:rsidRPr="00463A05" w:rsidRDefault="00AA7E45" w:rsidP="007E0A99">
      <w:pPr>
        <w:tabs>
          <w:tab w:val="left" w:pos="0"/>
        </w:tabs>
        <w:contextualSpacing/>
        <w:jc w:val="both"/>
        <w:rPr>
          <w:rFonts w:ascii="Bookman Old Style" w:hAnsi="Bookman Old Style"/>
          <w:sz w:val="26"/>
          <w:szCs w:val="26"/>
        </w:rPr>
      </w:pPr>
    </w:p>
    <w:p w:rsidR="00661A48" w:rsidRPr="00463A05" w:rsidRDefault="007E0A99" w:rsidP="00D35F02">
      <w:pPr>
        <w:tabs>
          <w:tab w:val="left" w:pos="0"/>
        </w:tabs>
        <w:contextualSpacing/>
        <w:jc w:val="both"/>
        <w:rPr>
          <w:rFonts w:ascii="Bookman Old Style" w:hAnsi="Bookman Old Style"/>
          <w:sz w:val="26"/>
          <w:szCs w:val="26"/>
        </w:rPr>
      </w:pPr>
      <w:r w:rsidRPr="00463A05">
        <w:rPr>
          <w:rFonts w:ascii="Bookman Old Style" w:hAnsi="Bookman Old Style"/>
          <w:sz w:val="26"/>
          <w:szCs w:val="26"/>
        </w:rPr>
        <w:t xml:space="preserve">Pursuant to </w:t>
      </w:r>
      <w:r w:rsidRPr="00463A05">
        <w:rPr>
          <w:rFonts w:ascii="Bookman Old Style" w:hAnsi="Bookman Old Style"/>
          <w:sz w:val="26"/>
          <w:szCs w:val="26"/>
          <w:u w:val="single"/>
        </w:rPr>
        <w:t>Covington</w:t>
      </w:r>
      <w:r w:rsidRPr="00463A05">
        <w:rPr>
          <w:rFonts w:ascii="Bookman Old Style" w:hAnsi="Bookman Old Style"/>
          <w:sz w:val="26"/>
          <w:szCs w:val="26"/>
        </w:rPr>
        <w:t xml:space="preserve">, </w:t>
      </w:r>
      <w:r w:rsidR="00462BEC" w:rsidRPr="00463A05">
        <w:rPr>
          <w:rFonts w:ascii="Bookman Old Style" w:hAnsi="Bookman Old Style"/>
          <w:sz w:val="26"/>
          <w:szCs w:val="26"/>
        </w:rPr>
        <w:t xml:space="preserve">the fact that </w:t>
      </w:r>
      <w:r w:rsidR="00D35F02" w:rsidRPr="00463A05">
        <w:rPr>
          <w:rFonts w:ascii="Bookman Old Style" w:hAnsi="Bookman Old Style"/>
          <w:sz w:val="26"/>
          <w:szCs w:val="26"/>
        </w:rPr>
        <w:t>a count</w:t>
      </w:r>
      <w:r w:rsidR="00462BEC" w:rsidRPr="00463A05">
        <w:rPr>
          <w:rFonts w:ascii="Bookman Old Style" w:hAnsi="Bookman Old Style"/>
          <w:sz w:val="26"/>
          <w:szCs w:val="26"/>
        </w:rPr>
        <w:t xml:space="preserve"> may be duplicitous is not necessarily fatal to the indictment.  Rather, any </w:t>
      </w:r>
      <w:r w:rsidRPr="00463A05">
        <w:rPr>
          <w:rFonts w:ascii="Bookman Old Style" w:hAnsi="Bookman Old Style"/>
          <w:sz w:val="26"/>
          <w:szCs w:val="26"/>
        </w:rPr>
        <w:t xml:space="preserve">problem of a potentially duplicitous count </w:t>
      </w:r>
      <w:r w:rsidR="00462BEC" w:rsidRPr="00463A05">
        <w:rPr>
          <w:rFonts w:ascii="Bookman Old Style" w:hAnsi="Bookman Old Style"/>
          <w:sz w:val="26"/>
          <w:szCs w:val="26"/>
        </w:rPr>
        <w:t>must</w:t>
      </w:r>
      <w:r w:rsidRPr="00463A05">
        <w:rPr>
          <w:rFonts w:ascii="Bookman Old Style" w:hAnsi="Bookman Old Style"/>
          <w:sz w:val="26"/>
          <w:szCs w:val="26"/>
        </w:rPr>
        <w:t xml:space="preserve"> be </w:t>
      </w:r>
      <w:r w:rsidR="00462BEC" w:rsidRPr="00463A05">
        <w:rPr>
          <w:rFonts w:ascii="Bookman Old Style" w:hAnsi="Bookman Old Style"/>
          <w:sz w:val="26"/>
          <w:szCs w:val="26"/>
        </w:rPr>
        <w:t>addressed by instructing</w:t>
      </w:r>
      <w:r w:rsidRPr="00463A05">
        <w:rPr>
          <w:rFonts w:ascii="Bookman Old Style" w:hAnsi="Bookman Old Style"/>
          <w:sz w:val="26"/>
          <w:szCs w:val="26"/>
        </w:rPr>
        <w:t xml:space="preserve"> the jury that it may only convict if it unanimously agrees on the specific </w:t>
      </w:r>
      <w:r w:rsidR="005C71CD" w:rsidRPr="00463A05">
        <w:rPr>
          <w:rFonts w:ascii="Bookman Old Style" w:hAnsi="Bookman Old Style"/>
          <w:sz w:val="26"/>
          <w:szCs w:val="26"/>
        </w:rPr>
        <w:t xml:space="preserve">conduct </w:t>
      </w:r>
      <w:r w:rsidRPr="00463A05">
        <w:rPr>
          <w:rFonts w:ascii="Bookman Old Style" w:hAnsi="Bookman Old Style"/>
          <w:sz w:val="26"/>
          <w:szCs w:val="26"/>
        </w:rPr>
        <w:t>underlying the charge in that case</w:t>
      </w:r>
      <w:r w:rsidR="00D35F02" w:rsidRPr="00463A05">
        <w:rPr>
          <w:rFonts w:ascii="Bookman Old Style" w:hAnsi="Bookman Old Style"/>
          <w:sz w:val="26"/>
          <w:szCs w:val="26"/>
        </w:rPr>
        <w:t>.</w:t>
      </w:r>
    </w:p>
    <w:p w:rsidR="003634C8" w:rsidRDefault="003634C8" w:rsidP="00354863">
      <w:pPr>
        <w:tabs>
          <w:tab w:val="left" w:pos="0"/>
        </w:tabs>
        <w:contextualSpacing/>
        <w:jc w:val="both"/>
        <w:rPr>
          <w:rFonts w:ascii="Bookman Old Style" w:hAnsi="Bookman Old Style"/>
          <w:sz w:val="26"/>
          <w:szCs w:val="26"/>
        </w:rPr>
        <w:sectPr w:rsidR="003634C8" w:rsidSect="003634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80" w:right="1440" w:bottom="1440" w:left="1440" w:header="720" w:footer="720" w:gutter="0"/>
          <w:pgNumType w:start="1"/>
          <w:cols w:space="720"/>
          <w:docGrid w:linePitch="360"/>
        </w:sectPr>
      </w:pPr>
    </w:p>
    <w:p w:rsidR="008E600B" w:rsidRDefault="00A36110" w:rsidP="007D7955">
      <w:pPr>
        <w:spacing w:after="120"/>
        <w:rPr>
          <w:rFonts w:ascii="Bookman Old Style" w:hAnsi="Bookman Old Style"/>
          <w:sz w:val="26"/>
          <w:szCs w:val="26"/>
        </w:rPr>
      </w:pPr>
      <w:r w:rsidRPr="00463A05">
        <w:rPr>
          <w:rFonts w:ascii="Bookman Old Style" w:hAnsi="Bookman Old Style"/>
          <w:sz w:val="26"/>
          <w:szCs w:val="26"/>
        </w:rPr>
        <w:lastRenderedPageBreak/>
        <w:t>The instruction uses the terms “act,” “omission,” and “conduct” based on the language of AS 11.81.600</w:t>
      </w:r>
      <w:r w:rsidR="004F7B09">
        <w:rPr>
          <w:rFonts w:ascii="Bookman Old Style" w:hAnsi="Bookman Old Style"/>
          <w:sz w:val="26"/>
          <w:szCs w:val="26"/>
        </w:rPr>
        <w:t>(a)</w:t>
      </w:r>
      <w:r w:rsidR="00BB1FCF" w:rsidRPr="00463A05">
        <w:rPr>
          <w:rFonts w:ascii="Bookman Old Style" w:hAnsi="Bookman Old Style"/>
          <w:sz w:val="26"/>
          <w:szCs w:val="26"/>
        </w:rPr>
        <w:t>, which provides</w:t>
      </w:r>
      <w:r w:rsidRPr="00463A05">
        <w:rPr>
          <w:rFonts w:ascii="Bookman Old Style" w:hAnsi="Bookman Old Style"/>
          <w:sz w:val="26"/>
          <w:szCs w:val="26"/>
        </w:rPr>
        <w:t>: “the minimal requirement for criminal liability is the performance by a person of conduct that includes a voluntary act or the omission to perform an act that the person is capable of performing.”</w:t>
      </w:r>
    </w:p>
    <w:p w:rsidR="00463A05" w:rsidRPr="00463A05" w:rsidRDefault="00463A05" w:rsidP="007D7955">
      <w:pPr>
        <w:spacing w:after="120"/>
        <w:rPr>
          <w:rFonts w:ascii="Bookman Old Style" w:hAnsi="Bookman Old Style"/>
          <w:sz w:val="26"/>
          <w:szCs w:val="26"/>
        </w:rPr>
      </w:pPr>
    </w:p>
    <w:p w:rsidR="000D71BE" w:rsidRDefault="008E600B" w:rsidP="008C2DF5">
      <w:pPr>
        <w:spacing w:after="120"/>
        <w:rPr>
          <w:rFonts w:ascii="Bookman Old Style" w:hAnsi="Bookman Old Style"/>
          <w:sz w:val="26"/>
          <w:szCs w:val="26"/>
        </w:rPr>
      </w:pPr>
      <w:r w:rsidRPr="00463A05">
        <w:rPr>
          <w:rFonts w:ascii="Bookman Old Style" w:hAnsi="Bookman Old Style"/>
          <w:sz w:val="26"/>
          <w:szCs w:val="26"/>
        </w:rPr>
        <w:t xml:space="preserve">In </w:t>
      </w:r>
      <w:r w:rsidR="00E95E81" w:rsidRPr="00463A05">
        <w:rPr>
          <w:rFonts w:ascii="Bookman Old Style" w:hAnsi="Bookman Old Style"/>
          <w:sz w:val="26"/>
          <w:szCs w:val="26"/>
        </w:rPr>
        <w:t xml:space="preserve">some </w:t>
      </w:r>
      <w:r w:rsidRPr="00463A05">
        <w:rPr>
          <w:rFonts w:ascii="Bookman Old Style" w:hAnsi="Bookman Old Style"/>
          <w:sz w:val="26"/>
          <w:szCs w:val="26"/>
        </w:rPr>
        <w:t>cases, it will be very impor</w:t>
      </w:r>
      <w:r w:rsidR="00E95E81" w:rsidRPr="00463A05">
        <w:rPr>
          <w:rFonts w:ascii="Bookman Old Style" w:hAnsi="Bookman Old Style"/>
          <w:sz w:val="26"/>
          <w:szCs w:val="26"/>
        </w:rPr>
        <w:t>tant to specify the precise “conduct</w:t>
      </w:r>
      <w:r w:rsidRPr="00463A05">
        <w:rPr>
          <w:rFonts w:ascii="Bookman Old Style" w:hAnsi="Bookman Old Style"/>
          <w:sz w:val="26"/>
          <w:szCs w:val="26"/>
        </w:rPr>
        <w:t>” to which the instruction refers.</w:t>
      </w:r>
      <w:r w:rsidR="00AB1E34" w:rsidRPr="00463A05">
        <w:rPr>
          <w:rFonts w:ascii="Bookman Old Style" w:hAnsi="Bookman Old Style"/>
          <w:sz w:val="26"/>
          <w:szCs w:val="26"/>
        </w:rPr>
        <w:t xml:space="preserve">  </w:t>
      </w:r>
      <w:r w:rsidR="00AB1E34" w:rsidRPr="00463A05">
        <w:rPr>
          <w:rFonts w:ascii="Bookman Old Style" w:hAnsi="Bookman Old Style"/>
          <w:i/>
          <w:sz w:val="26"/>
          <w:szCs w:val="26"/>
        </w:rPr>
        <w:t xml:space="preserve">See </w:t>
      </w:r>
      <w:r w:rsidR="00AB1E34" w:rsidRPr="00463A05">
        <w:rPr>
          <w:rFonts w:ascii="Bookman Old Style" w:hAnsi="Bookman Old Style"/>
          <w:sz w:val="26"/>
          <w:szCs w:val="26"/>
          <w:u w:val="single"/>
        </w:rPr>
        <w:t>Khan v. State</w:t>
      </w:r>
      <w:r w:rsidR="00A05243">
        <w:rPr>
          <w:rFonts w:ascii="Bookman Old Style" w:hAnsi="Bookman Old Style"/>
          <w:sz w:val="26"/>
          <w:szCs w:val="26"/>
          <w:u w:val="single"/>
        </w:rPr>
        <w:t>,</w:t>
      </w:r>
      <w:r w:rsidR="00A05243">
        <w:rPr>
          <w:rFonts w:ascii="Bookman Old Style" w:hAnsi="Bookman Old Style"/>
          <w:sz w:val="26"/>
          <w:szCs w:val="26"/>
        </w:rPr>
        <w:t xml:space="preserve"> </w:t>
      </w:r>
      <w:r w:rsidR="00AB1E34" w:rsidRPr="00463A05">
        <w:rPr>
          <w:rFonts w:ascii="Bookman Old Style" w:hAnsi="Bookman Old Style"/>
          <w:sz w:val="26"/>
          <w:szCs w:val="26"/>
        </w:rPr>
        <w:t>278 P.3d 893 (Alaska 2012).</w:t>
      </w:r>
    </w:p>
    <w:p w:rsidR="00463A05" w:rsidRPr="00463A05" w:rsidRDefault="00463A05" w:rsidP="008C2DF5">
      <w:pPr>
        <w:spacing w:after="120"/>
        <w:rPr>
          <w:rFonts w:ascii="Bookman Old Style" w:hAnsi="Bookman Old Style"/>
          <w:sz w:val="26"/>
          <w:szCs w:val="26"/>
        </w:rPr>
      </w:pPr>
    </w:p>
    <w:p w:rsidR="000D71BE" w:rsidRPr="00111AD6" w:rsidRDefault="000D71BE" w:rsidP="000D71BE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463A05">
        <w:rPr>
          <w:rFonts w:ascii="Bookman Old Style" w:hAnsi="Bookman Old Style"/>
          <w:sz w:val="26"/>
          <w:szCs w:val="26"/>
        </w:rPr>
        <w:t xml:space="preserve">[An analogous issue may arise and a separate instruction will need to be written if two or more counts are </w:t>
      </w:r>
      <w:proofErr w:type="spellStart"/>
      <w:r w:rsidRPr="00463A05">
        <w:rPr>
          <w:rFonts w:ascii="Bookman Old Style" w:hAnsi="Bookman Old Style"/>
          <w:sz w:val="26"/>
          <w:szCs w:val="26"/>
        </w:rPr>
        <w:t>multiplicitous</w:t>
      </w:r>
      <w:proofErr w:type="spellEnd"/>
      <w:r w:rsidRPr="00463A05">
        <w:rPr>
          <w:rFonts w:ascii="Bookman Old Style" w:hAnsi="Bookman Old Style"/>
          <w:sz w:val="26"/>
          <w:szCs w:val="26"/>
        </w:rPr>
        <w:t xml:space="preserve">.  Two counts are </w:t>
      </w:r>
      <w:proofErr w:type="spellStart"/>
      <w:r w:rsidRPr="00463A05">
        <w:rPr>
          <w:rFonts w:ascii="Bookman Old Style" w:hAnsi="Bookman Old Style"/>
          <w:sz w:val="26"/>
          <w:szCs w:val="26"/>
        </w:rPr>
        <w:t>multiplicitous</w:t>
      </w:r>
      <w:proofErr w:type="spellEnd"/>
      <w:r w:rsidRPr="00463A05">
        <w:rPr>
          <w:rFonts w:ascii="Bookman Old Style" w:hAnsi="Bookman Old Style"/>
          <w:sz w:val="26"/>
          <w:szCs w:val="26"/>
        </w:rPr>
        <w:t xml:space="preserve"> if the same conduct would lead to a conviction on each count.  For example, suppose that the state indicts a defendant on two counts of Sexual Abuse of a Minor in the First Degree, where the first count alleges abuse over a one-year period of time and the second count alleges abuse during the summer of that year.  These counts could be seen to be </w:t>
      </w:r>
      <w:proofErr w:type="spellStart"/>
      <w:r w:rsidRPr="00463A05">
        <w:rPr>
          <w:rFonts w:ascii="Bookman Old Style" w:hAnsi="Bookman Old Style"/>
          <w:sz w:val="26"/>
          <w:szCs w:val="26"/>
        </w:rPr>
        <w:t>multiplicitous</w:t>
      </w:r>
      <w:proofErr w:type="spellEnd"/>
      <w:r w:rsidRPr="00463A05">
        <w:rPr>
          <w:rFonts w:ascii="Bookman Old Style" w:hAnsi="Bookman Old Style"/>
          <w:sz w:val="26"/>
          <w:szCs w:val="26"/>
        </w:rPr>
        <w:t>, since an incident during the summer could support a conviction as to each count.]</w:t>
      </w:r>
    </w:p>
    <w:p w:rsidR="000D71BE" w:rsidRDefault="000D71BE" w:rsidP="008C2DF5">
      <w:pPr>
        <w:spacing w:after="120"/>
        <w:rPr>
          <w:sz w:val="26"/>
          <w:szCs w:val="26"/>
        </w:rPr>
      </w:pPr>
    </w:p>
    <w:sectPr w:rsidR="000D71BE" w:rsidSect="003634C8">
      <w:headerReference w:type="default" r:id="rId14"/>
      <w:pgSz w:w="12240" w:h="15840"/>
      <w:pgMar w:top="288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1C" w:rsidRDefault="00EA111C" w:rsidP="005C71CD">
      <w:r>
        <w:separator/>
      </w:r>
    </w:p>
  </w:endnote>
  <w:endnote w:type="continuationSeparator" w:id="0">
    <w:p w:rsidR="00EA111C" w:rsidRDefault="00EA111C" w:rsidP="005C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4F" w:rsidRDefault="00E277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4F" w:rsidRDefault="00E277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4F" w:rsidRDefault="00E27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1C" w:rsidRDefault="00EA111C" w:rsidP="005C71CD">
      <w:r>
        <w:separator/>
      </w:r>
    </w:p>
  </w:footnote>
  <w:footnote w:type="continuationSeparator" w:id="0">
    <w:p w:rsidR="00EA111C" w:rsidRDefault="00EA111C" w:rsidP="005C7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4F" w:rsidRDefault="00E277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55" w:rsidRPr="007D7955" w:rsidRDefault="007D7955" w:rsidP="007D7955">
    <w:pPr>
      <w:pStyle w:val="Header"/>
      <w:rPr>
        <w:rFonts w:ascii="Bookman Old Style" w:hAnsi="Bookman Old Style"/>
        <w:b/>
        <w:sz w:val="24"/>
        <w:szCs w:val="24"/>
      </w:rPr>
    </w:pPr>
    <w:r w:rsidRPr="007D7955">
      <w:rPr>
        <w:rFonts w:ascii="Bookman Old Style" w:hAnsi="Bookman Old Style"/>
        <w:b/>
        <w:sz w:val="24"/>
        <w:szCs w:val="24"/>
      </w:rPr>
      <w:t>ARRIVING AT A VERDICT -</w:t>
    </w:r>
    <w:r w:rsidR="008F549F" w:rsidRPr="007D7955">
      <w:rPr>
        <w:rFonts w:ascii="Bookman Old Style" w:hAnsi="Bookman Old Style"/>
        <w:b/>
        <w:sz w:val="24"/>
        <w:szCs w:val="24"/>
      </w:rPr>
      <w:t xml:space="preserve"> </w:t>
    </w:r>
    <w:r w:rsidR="005C71CD" w:rsidRPr="007D7955">
      <w:rPr>
        <w:rFonts w:ascii="Bookman Old Style" w:hAnsi="Bookman Old Style"/>
        <w:b/>
        <w:sz w:val="24"/>
        <w:szCs w:val="24"/>
      </w:rPr>
      <w:t>FACTUAL CONCURRENCE</w:t>
    </w:r>
    <w:r w:rsidR="008F549F" w:rsidRPr="007D7955">
      <w:rPr>
        <w:rFonts w:ascii="Bookman Old Style" w:hAnsi="Bookman Old Style"/>
        <w:b/>
        <w:sz w:val="24"/>
        <w:szCs w:val="24"/>
      </w:rPr>
      <w:t xml:space="preserve"> </w:t>
    </w:r>
    <w:r>
      <w:rPr>
        <w:rFonts w:ascii="Bookman Old Style" w:hAnsi="Bookman Old Style"/>
        <w:b/>
        <w:sz w:val="24"/>
        <w:szCs w:val="24"/>
      </w:rPr>
      <w:tab/>
      <w:t>1.35F</w:t>
    </w:r>
  </w:p>
  <w:p w:rsidR="005C71CD" w:rsidRDefault="007D7955">
    <w:pPr>
      <w:pStyle w:val="Header"/>
      <w:rPr>
        <w:rFonts w:ascii="Bookman Old Style" w:hAnsi="Bookman Old Style"/>
        <w:b/>
        <w:sz w:val="24"/>
        <w:szCs w:val="24"/>
      </w:rPr>
    </w:pPr>
    <w:r w:rsidRPr="007D7955">
      <w:rPr>
        <w:rFonts w:ascii="Bookman Old Style" w:hAnsi="Bookman Old Style"/>
        <w:b/>
        <w:sz w:val="24"/>
        <w:szCs w:val="24"/>
      </w:rPr>
      <w:t>(</w:t>
    </w:r>
    <w:r w:rsidR="008F549F" w:rsidRPr="007D7955">
      <w:rPr>
        <w:rFonts w:ascii="Bookman Old Style" w:hAnsi="Bookman Old Style"/>
        <w:b/>
        <w:sz w:val="24"/>
        <w:szCs w:val="24"/>
      </w:rPr>
      <w:t>DUPLICITOUS COUNTS)</w:t>
    </w:r>
  </w:p>
  <w:p w:rsidR="007D7955" w:rsidRDefault="007D7955">
    <w:pPr>
      <w:pStyle w:val="Head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Added 2013</w:t>
    </w:r>
  </w:p>
  <w:p w:rsidR="007D7955" w:rsidRDefault="007D7955">
    <w:pPr>
      <w:pStyle w:val="Header"/>
      <w:pBdr>
        <w:bottom w:val="single" w:sz="12" w:space="1" w:color="auto"/>
      </w:pBdr>
      <w:rPr>
        <w:rFonts w:ascii="Bookman Old Style" w:hAnsi="Bookman Old Style"/>
        <w:b/>
        <w:sz w:val="26"/>
        <w:szCs w:val="26"/>
      </w:rPr>
    </w:pPr>
    <w:r>
      <w:rPr>
        <w:rFonts w:ascii="Bookman Old Style" w:hAnsi="Bookman Old Style"/>
        <w:b/>
        <w:sz w:val="26"/>
        <w:szCs w:val="26"/>
      </w:rPr>
      <w:t>Page 1 of 2</w:t>
    </w:r>
  </w:p>
  <w:p w:rsidR="00354862" w:rsidRPr="007D7955" w:rsidRDefault="00354862">
    <w:pPr>
      <w:pStyle w:val="Header"/>
      <w:rPr>
        <w:rFonts w:ascii="Bookman Old Style" w:hAnsi="Bookman Old Style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4F" w:rsidRDefault="00E2774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74F" w:rsidRPr="007D7955" w:rsidRDefault="00E2774F" w:rsidP="007D7955">
    <w:pPr>
      <w:pStyle w:val="Header"/>
      <w:rPr>
        <w:rFonts w:ascii="Bookman Old Style" w:hAnsi="Bookman Old Style"/>
        <w:b/>
        <w:sz w:val="24"/>
        <w:szCs w:val="24"/>
      </w:rPr>
    </w:pPr>
    <w:r w:rsidRPr="007D7955">
      <w:rPr>
        <w:rFonts w:ascii="Bookman Old Style" w:hAnsi="Bookman Old Style"/>
        <w:b/>
        <w:sz w:val="24"/>
        <w:szCs w:val="24"/>
      </w:rPr>
      <w:t xml:space="preserve">ARRIVING AT A VERDICT - FACTUAL CONCURRENCE </w:t>
    </w:r>
    <w:r>
      <w:rPr>
        <w:rFonts w:ascii="Bookman Old Style" w:hAnsi="Bookman Old Style"/>
        <w:b/>
        <w:sz w:val="24"/>
        <w:szCs w:val="24"/>
      </w:rPr>
      <w:tab/>
      <w:t>1.35F</w:t>
    </w:r>
  </w:p>
  <w:p w:rsidR="00E2774F" w:rsidRDefault="00E2774F">
    <w:pPr>
      <w:pStyle w:val="Header"/>
      <w:rPr>
        <w:rFonts w:ascii="Bookman Old Style" w:hAnsi="Bookman Old Style"/>
        <w:b/>
        <w:sz w:val="24"/>
        <w:szCs w:val="24"/>
      </w:rPr>
    </w:pPr>
    <w:r w:rsidRPr="007D7955">
      <w:rPr>
        <w:rFonts w:ascii="Bookman Old Style" w:hAnsi="Bookman Old Style"/>
        <w:b/>
        <w:sz w:val="24"/>
        <w:szCs w:val="24"/>
      </w:rPr>
      <w:t>(DUPLICITOUS COUNTS)</w:t>
    </w:r>
  </w:p>
  <w:p w:rsidR="00E2774F" w:rsidRDefault="00E2774F">
    <w:pPr>
      <w:pStyle w:val="Head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Added 2013</w:t>
    </w:r>
  </w:p>
  <w:p w:rsidR="00E2774F" w:rsidRDefault="00E2774F">
    <w:pPr>
      <w:pStyle w:val="Header"/>
      <w:pBdr>
        <w:bottom w:val="single" w:sz="12" w:space="1" w:color="auto"/>
      </w:pBdr>
      <w:rPr>
        <w:rFonts w:ascii="Bookman Old Style" w:hAnsi="Bookman Old Style"/>
        <w:b/>
        <w:sz w:val="26"/>
        <w:szCs w:val="26"/>
      </w:rPr>
    </w:pPr>
    <w:r>
      <w:rPr>
        <w:rFonts w:ascii="Bookman Old Style" w:hAnsi="Bookman Old Style"/>
        <w:b/>
        <w:sz w:val="26"/>
        <w:szCs w:val="26"/>
      </w:rPr>
      <w:t>Page 2 of 2</w:t>
    </w:r>
  </w:p>
  <w:p w:rsidR="00E2774F" w:rsidRPr="007D7955" w:rsidRDefault="00E2774F">
    <w:pPr>
      <w:pStyle w:val="Header"/>
      <w:rPr>
        <w:rFonts w:ascii="Bookman Old Style" w:hAnsi="Bookman Old Style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53"/>
    <w:rsid w:val="000A708F"/>
    <w:rsid w:val="000D71BE"/>
    <w:rsid w:val="000E0B09"/>
    <w:rsid w:val="001A29B4"/>
    <w:rsid w:val="00281F32"/>
    <w:rsid w:val="00293069"/>
    <w:rsid w:val="002E4C42"/>
    <w:rsid w:val="00305AA9"/>
    <w:rsid w:val="00354862"/>
    <w:rsid w:val="00354863"/>
    <w:rsid w:val="003634C8"/>
    <w:rsid w:val="00462BEC"/>
    <w:rsid w:val="00463A05"/>
    <w:rsid w:val="00490601"/>
    <w:rsid w:val="004F3E29"/>
    <w:rsid w:val="004F5AD0"/>
    <w:rsid w:val="004F7B09"/>
    <w:rsid w:val="00544A25"/>
    <w:rsid w:val="005612C7"/>
    <w:rsid w:val="005722AF"/>
    <w:rsid w:val="005814C5"/>
    <w:rsid w:val="005C71CD"/>
    <w:rsid w:val="006172C6"/>
    <w:rsid w:val="00661A48"/>
    <w:rsid w:val="007D0447"/>
    <w:rsid w:val="007D2A7F"/>
    <w:rsid w:val="007D7955"/>
    <w:rsid w:val="007E0A99"/>
    <w:rsid w:val="007E3ECE"/>
    <w:rsid w:val="00872F7B"/>
    <w:rsid w:val="00890FB4"/>
    <w:rsid w:val="008C2DF5"/>
    <w:rsid w:val="008E600B"/>
    <w:rsid w:val="008F549F"/>
    <w:rsid w:val="009E2953"/>
    <w:rsid w:val="00A05243"/>
    <w:rsid w:val="00A135D6"/>
    <w:rsid w:val="00A36110"/>
    <w:rsid w:val="00A73807"/>
    <w:rsid w:val="00A74042"/>
    <w:rsid w:val="00AA2A63"/>
    <w:rsid w:val="00AA7E45"/>
    <w:rsid w:val="00AB1E34"/>
    <w:rsid w:val="00AE5E71"/>
    <w:rsid w:val="00B43F59"/>
    <w:rsid w:val="00B95FEC"/>
    <w:rsid w:val="00BB1FCF"/>
    <w:rsid w:val="00CD5730"/>
    <w:rsid w:val="00D35F02"/>
    <w:rsid w:val="00E2774F"/>
    <w:rsid w:val="00E95E81"/>
    <w:rsid w:val="00EA111C"/>
    <w:rsid w:val="00E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E295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295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1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7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C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E295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295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1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7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1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75C3-A518-44D2-B601-A6EF943A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403</Words>
  <Characters>2303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Robert Polley</cp:lastModifiedBy>
  <cp:revision>8</cp:revision>
  <cp:lastPrinted>2013-01-18T00:22:00Z</cp:lastPrinted>
  <dcterms:created xsi:type="dcterms:W3CDTF">2013-05-10T18:18:00Z</dcterms:created>
  <dcterms:modified xsi:type="dcterms:W3CDTF">2013-09-16T19:17:00Z</dcterms:modified>
</cp:coreProperties>
</file>