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8" w:rsidRPr="007618CC" w:rsidRDefault="00C270D8" w:rsidP="00C270D8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7618CC">
        <w:rPr>
          <w:rFonts w:ascii="Bookman Old Style" w:hAnsi="Bookman Old Style"/>
          <w:b/>
          <w:sz w:val="24"/>
          <w:szCs w:val="24"/>
        </w:rPr>
        <w:t>CONCEALMENT OF MERCHANDISE</w:t>
      </w:r>
      <w:r w:rsidRPr="007618CC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7618CC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7618CC">
        <w:rPr>
          <w:rFonts w:ascii="Bookman Old Style" w:hAnsi="Bookman Old Style"/>
          <w:b/>
          <w:sz w:val="24"/>
          <w:szCs w:val="24"/>
        </w:rPr>
        <w:t>2)(A)</w:t>
      </w:r>
    </w:p>
    <w:p w:rsidR="00C270D8" w:rsidRPr="007618CC" w:rsidRDefault="00C270D8" w:rsidP="00C270D8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7618CC">
        <w:rPr>
          <w:rFonts w:ascii="Bookman Old Style" w:hAnsi="Bookman Old Style"/>
          <w:b/>
          <w:sz w:val="24"/>
          <w:szCs w:val="24"/>
        </w:rPr>
        <w:t>(CLASS A MISDEMEANOR)</w:t>
      </w:r>
    </w:p>
    <w:p w:rsidR="00C270D8" w:rsidRPr="007618CC" w:rsidRDefault="007618CC" w:rsidP="00C270D8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C270D8" w:rsidRPr="007618CC" w:rsidRDefault="00C270D8" w:rsidP="00C270D8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7618CC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7618CC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t xml:space="preserve"> of </w: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7618CC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7618CC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C270D8" w:rsidRPr="00A30FC2" w:rsidRDefault="00C270D8" w:rsidP="00C270D8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C270D8" w:rsidRDefault="00C270D8" w:rsidP="00C270D8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C270D8" w:rsidRDefault="00C270D8" w:rsidP="00C270D8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concealment of merchandise.</w:t>
      </w:r>
    </w:p>
    <w:p w:rsidR="00C270D8" w:rsidRDefault="00C270D8" w:rsidP="00C270D8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C270D8" w:rsidRPr="002F7E0E" w:rsidRDefault="00C270D8" w:rsidP="00C270D8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knowingly concealed on or about</w:t>
      </w:r>
      <w:r w:rsidRPr="002F7E0E">
        <w:t xml:space="preserve"> </w:t>
      </w:r>
      <w:r>
        <w:rPr>
          <w:bCs/>
        </w:rPr>
        <w:t>the defendant’s</w:t>
      </w:r>
      <w:r w:rsidRPr="002F7E0E">
        <w:t xml:space="preserve"> person the merchandise of a commercial establishment;</w:t>
      </w:r>
    </w:p>
    <w:p w:rsidR="00C270D8" w:rsidRPr="002F7E0E" w:rsidRDefault="00C270D8" w:rsidP="00C270D8">
      <w:pPr>
        <w:pStyle w:val="BodyTextIndent"/>
        <w:spacing w:after="120"/>
        <w:ind w:left="720" w:hanging="720"/>
      </w:pPr>
      <w:r w:rsidRPr="002F7E0E">
        <w:t>(2)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had no authority to conceal the merchandise;</w:t>
      </w:r>
    </w:p>
    <w:p w:rsidR="00C270D8" w:rsidRPr="002F7E0E" w:rsidRDefault="00C270D8" w:rsidP="00C270D8">
      <w:pPr>
        <w:pStyle w:val="BodyTextIndent"/>
        <w:spacing w:after="120"/>
        <w:ind w:left="720" w:hanging="720"/>
      </w:pPr>
      <w:r w:rsidRPr="002F7E0E">
        <w:t>(3)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had not purchased the merchandise;</w:t>
      </w:r>
    </w:p>
    <w:p w:rsidR="00C270D8" w:rsidRPr="002F7E0E" w:rsidRDefault="00C270D8" w:rsidP="00C270D8">
      <w:pPr>
        <w:pStyle w:val="BodyTextIndent"/>
        <w:spacing w:after="120"/>
        <w:ind w:left="720" w:hanging="720"/>
      </w:pPr>
      <w:r w:rsidRPr="002F7E0E">
        <w:t>(4)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was still upon the premises of the commercial establishment when the merchandise was concealed;</w:t>
      </w:r>
    </w:p>
    <w:p w:rsidR="00C270D8" w:rsidRPr="002F7E0E" w:rsidRDefault="00C270D8" w:rsidP="00C270D8">
      <w:pPr>
        <w:pStyle w:val="BodyTextIndent"/>
        <w:spacing w:after="120"/>
        <w:ind w:left="720" w:hanging="720"/>
      </w:pPr>
      <w:r w:rsidRPr="002F7E0E">
        <w:t>(5)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intended to deprive the owner of the merchandise or appropriate the merchandise; and</w:t>
      </w:r>
    </w:p>
    <w:p w:rsidR="00C270D8" w:rsidRPr="002F7E0E" w:rsidRDefault="00C270D8" w:rsidP="00C270D8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2F7E0E">
        <w:rPr>
          <w:rFonts w:ascii="Bookman Old Style" w:hAnsi="Bookman Old Style"/>
          <w:sz w:val="26"/>
        </w:rPr>
        <w:t>(6</w:t>
      </w:r>
      <w:r>
        <w:rPr>
          <w:rFonts w:ascii="Bookman Old Style" w:hAnsi="Bookman Old Style"/>
          <w:bCs/>
          <w:sz w:val="26"/>
        </w:rPr>
        <w:t>)</w:t>
      </w:r>
      <w:r w:rsidRPr="002F7E0E">
        <w:rPr>
          <w:rFonts w:ascii="Bookman Old Style" w:hAnsi="Bookman Old Style"/>
          <w:sz w:val="26"/>
        </w:rPr>
        <w:tab/>
      </w:r>
      <w:proofErr w:type="gramStart"/>
      <w:r w:rsidRPr="002F7E0E">
        <w:rPr>
          <w:rFonts w:ascii="Bookman Old Style" w:hAnsi="Bookman Old Style"/>
          <w:sz w:val="26"/>
        </w:rPr>
        <w:t>the</w:t>
      </w:r>
      <w:proofErr w:type="gramEnd"/>
      <w:r w:rsidRPr="002F7E0E">
        <w:rPr>
          <w:rFonts w:ascii="Bookman Old Style" w:hAnsi="Bookman Old Style"/>
          <w:sz w:val="26"/>
        </w:rPr>
        <w:t xml:space="preserve"> value of the merchandise was $</w:t>
      </w:r>
      <w:r>
        <w:rPr>
          <w:rFonts w:ascii="Bookman Old Style" w:hAnsi="Bookman Old Style"/>
          <w:sz w:val="26"/>
        </w:rPr>
        <w:t>250</w:t>
      </w:r>
      <w:r w:rsidRPr="002F7E0E">
        <w:rPr>
          <w:rFonts w:ascii="Bookman Old Style" w:hAnsi="Bookman Old Style"/>
          <w:sz w:val="26"/>
        </w:rPr>
        <w:t xml:space="preserve"> or more</w:t>
      </w:r>
      <w:r>
        <w:rPr>
          <w:rFonts w:ascii="Bookman Old Style" w:hAnsi="Bookman Old Style"/>
          <w:sz w:val="26"/>
        </w:rPr>
        <w:t xml:space="preserve"> but less than $1000.</w:t>
      </w:r>
      <w:r w:rsidRPr="002F7E0E">
        <w:rPr>
          <w:rFonts w:ascii="Bookman Old Style" w:hAnsi="Bookman Old Style"/>
          <w:sz w:val="26"/>
        </w:rPr>
        <w:t xml:space="preserve"> </w:t>
      </w:r>
    </w:p>
    <w:p w:rsidR="00C270D8" w:rsidRPr="002F7E0E" w:rsidRDefault="00C270D8" w:rsidP="00C270D8">
      <w:pPr>
        <w:tabs>
          <w:tab w:val="left" w:pos="508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</w:p>
    <w:p w:rsidR="00C270D8" w:rsidRDefault="00C270D8" w:rsidP="00C270D8">
      <w:pPr>
        <w:pStyle w:val="Heading1"/>
      </w:pPr>
      <w:r>
        <w:t>USE NOTE</w:t>
      </w:r>
    </w:p>
    <w:p w:rsidR="00C270D8" w:rsidRDefault="00C270D8" w:rsidP="00C270D8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C270D8" w:rsidRDefault="00C270D8" w:rsidP="00C270D8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appropriate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C270D8" w:rsidRDefault="00C270D8" w:rsidP="00C270D8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deprive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C270D8" w:rsidRDefault="00C270D8" w:rsidP="00C270D8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>”</w:t>
      </w:r>
      <w:r w:rsidRPr="00320BDC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color w:val="000000"/>
          <w:sz w:val="26"/>
        </w:rPr>
        <w:t>11.81.900(a)</w:t>
      </w:r>
    </w:p>
    <w:p w:rsidR="00C270D8" w:rsidRDefault="00C270D8" w:rsidP="00C270D8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”</w:t>
      </w:r>
      <w:r w:rsidRPr="00320BDC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sz w:val="26"/>
        </w:rPr>
        <w:t>11.81.900(a)</w:t>
      </w:r>
    </w:p>
    <w:p w:rsidR="00C270D8" w:rsidRDefault="00C270D8" w:rsidP="00C270D8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premises</w:t>
      </w:r>
      <w:proofErr w:type="gramEnd"/>
      <w:r>
        <w:rPr>
          <w:rFonts w:ascii="Bookman Old Style" w:hAnsi="Bookman Old Style"/>
          <w:color w:val="000000"/>
          <w:sz w:val="26"/>
        </w:rPr>
        <w:t>” – 11.81.900(b)</w:t>
      </w:r>
    </w:p>
    <w:p w:rsidR="00C270D8" w:rsidRDefault="00C270D8" w:rsidP="00C270D8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61DA4" w:rsidRPr="007618CC" w:rsidRDefault="00C270D8" w:rsidP="007618C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11.46.980.</w:t>
      </w:r>
      <w:bookmarkStart w:id="0" w:name="_GoBack"/>
      <w:bookmarkEnd w:id="0"/>
    </w:p>
    <w:sectPr w:rsidR="00861DA4" w:rsidRPr="0076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D8"/>
    <w:rsid w:val="007618CC"/>
    <w:rsid w:val="00785707"/>
    <w:rsid w:val="00C270D8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70D8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0D8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27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0D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270D8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270D8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C270D8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C270D8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270D8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70D8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270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270D8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270D8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270D8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C270D8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C270D8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2017-06-21T19:45:00Z</dcterms:created>
  <dcterms:modified xsi:type="dcterms:W3CDTF">2017-06-21T23:52:00Z</dcterms:modified>
</cp:coreProperties>
</file>