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06FB5" w14:textId="60AD27D5" w:rsidR="00D920CB" w:rsidRDefault="00D920CB" w:rsidP="00D920CB">
      <w:pPr>
        <w:pStyle w:val="BodyText"/>
        <w:spacing w:before="0" w:after="0"/>
      </w:pPr>
      <w:r>
        <w:t xml:space="preserve">A defendant in possession or control of any premises, or an express or implied agent of that person, may use deadly force upon another person when and to the extent the defendant believes it is necessary to terminate what the defendant believes to be the commission by the other person of burglary in any degree occurring in an occupied dwelling or occupied building. The defendant’s belief must be reasonable under the circumstances.  </w:t>
      </w:r>
    </w:p>
    <w:p w14:paraId="6DDE0066" w14:textId="77777777" w:rsidR="00D920CB" w:rsidRDefault="00D920CB" w:rsidP="00D920CB">
      <w:pPr>
        <w:pStyle w:val="BodyText"/>
        <w:spacing w:before="0" w:after="0"/>
      </w:pPr>
    </w:p>
    <w:p w14:paraId="6CAA731B" w14:textId="77777777" w:rsidR="00D920CB" w:rsidRDefault="00D920CB" w:rsidP="00D920CB">
      <w:pPr>
        <w:pStyle w:val="BodyText"/>
        <w:spacing w:before="0" w:after="0"/>
      </w:pPr>
      <w:r>
        <w:t>Unless the state has proven beyond a reasonable doubt that the defendant did not act in defense of premises as described above, you shall find the defendant not guilty.</w:t>
      </w:r>
    </w:p>
    <w:p w14:paraId="620EB27E" w14:textId="77777777" w:rsidR="00D920CB" w:rsidRDefault="00D920CB" w:rsidP="00D920CB">
      <w:pPr>
        <w:pStyle w:val="BodyText"/>
      </w:pPr>
    </w:p>
    <w:p w14:paraId="68E263F6" w14:textId="77777777" w:rsidR="00D920CB" w:rsidRDefault="00D920CB" w:rsidP="00D920CB">
      <w:pPr>
        <w:pStyle w:val="BodyText"/>
      </w:pPr>
    </w:p>
    <w:p w14:paraId="5021CC8D" w14:textId="77777777" w:rsidR="00D920CB" w:rsidRDefault="00D920CB" w:rsidP="00D920CB">
      <w:pPr>
        <w:pStyle w:val="Heading1"/>
      </w:pPr>
      <w:r>
        <w:t>USE NOTE</w:t>
      </w:r>
    </w:p>
    <w:p w14:paraId="3BB1248D" w14:textId="77777777" w:rsidR="00D920CB" w:rsidRPr="00EB62A2" w:rsidRDefault="00D920CB" w:rsidP="00D920CB"/>
    <w:p w14:paraId="15D3FB35" w14:textId="77777777" w:rsidR="00D920CB" w:rsidRDefault="00D920CB" w:rsidP="00D920CB">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14:paraId="0058ECC3" w14:textId="4FFE2914" w:rsidR="00D920CB" w:rsidRDefault="00D920CB" w:rsidP="00D920CB">
      <w:pPr>
        <w:tabs>
          <w:tab w:val="right" w:pos="8910"/>
        </w:tabs>
        <w:ind w:left="1440"/>
        <w:jc w:val="both"/>
        <w:rPr>
          <w:rFonts w:ascii="Bookman Old Style" w:hAnsi="Bookman Old Style"/>
          <w:sz w:val="26"/>
        </w:rPr>
      </w:pPr>
      <w:r>
        <w:rPr>
          <w:rFonts w:ascii="Bookman Old Style" w:hAnsi="Bookman Old Style"/>
          <w:sz w:val="26"/>
        </w:rPr>
        <w:t>“</w:t>
      </w:r>
      <w:r>
        <w:rPr>
          <w:rFonts w:ascii="Bookman Old Style" w:hAnsi="Bookman Old Style"/>
          <w:sz w:val="26"/>
        </w:rPr>
        <w:t>building</w:t>
      </w:r>
      <w:r>
        <w:rPr>
          <w:rFonts w:ascii="Bookman Old Style" w:hAnsi="Bookman Old Style"/>
          <w:sz w:val="26"/>
        </w:rPr>
        <w:t>”</w:t>
      </w:r>
      <w:r>
        <w:rPr>
          <w:rFonts w:ascii="Bookman Old Style" w:hAnsi="Bookman Old Style"/>
          <w:sz w:val="26"/>
        </w:rPr>
        <w:t xml:space="preserve"> – 11.81.900(b)</w:t>
      </w:r>
    </w:p>
    <w:p w14:paraId="6E7F9368" w14:textId="718AA651" w:rsidR="00D920CB" w:rsidRDefault="00D920CB" w:rsidP="00D920CB">
      <w:pPr>
        <w:tabs>
          <w:tab w:val="right" w:pos="8910"/>
        </w:tabs>
        <w:ind w:left="1440"/>
        <w:jc w:val="both"/>
        <w:rPr>
          <w:rFonts w:ascii="Bookman Old Style" w:hAnsi="Bookman Old Style"/>
          <w:sz w:val="26"/>
        </w:rPr>
      </w:pPr>
      <w:r>
        <w:rPr>
          <w:rFonts w:ascii="Bookman Old Style" w:hAnsi="Bookman Old Style"/>
          <w:sz w:val="26"/>
        </w:rPr>
        <w:t>“</w:t>
      </w:r>
      <w:r>
        <w:rPr>
          <w:rFonts w:ascii="Bookman Old Style" w:hAnsi="Bookman Old Style"/>
          <w:sz w:val="26"/>
        </w:rPr>
        <w:t>burglary</w:t>
      </w:r>
      <w:r>
        <w:rPr>
          <w:rFonts w:ascii="Bookman Old Style" w:hAnsi="Bookman Old Style"/>
          <w:sz w:val="26"/>
        </w:rPr>
        <w:t>”</w:t>
      </w:r>
      <w:r>
        <w:rPr>
          <w:rFonts w:ascii="Bookman Old Style" w:hAnsi="Bookman Old Style"/>
          <w:sz w:val="26"/>
        </w:rPr>
        <w:t xml:space="preserve"> – 11.46.300 and 11.46.310</w:t>
      </w:r>
    </w:p>
    <w:p w14:paraId="2F47012F" w14:textId="029F1FFC" w:rsidR="00D920CB" w:rsidRDefault="00D920CB" w:rsidP="00D920CB">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deadly</w:t>
      </w:r>
      <w:proofErr w:type="gramEnd"/>
      <w:r>
        <w:rPr>
          <w:rFonts w:ascii="Bookman Old Style" w:hAnsi="Bookman Old Style"/>
          <w:sz w:val="26"/>
        </w:rPr>
        <w:t xml:space="preserve"> force</w:t>
      </w:r>
      <w:r>
        <w:rPr>
          <w:rFonts w:ascii="Bookman Old Style" w:hAnsi="Bookman Old Style"/>
          <w:sz w:val="26"/>
        </w:rPr>
        <w:t>”</w:t>
      </w:r>
      <w:r>
        <w:rPr>
          <w:rFonts w:ascii="Bookman Old Style" w:hAnsi="Bookman Old Style"/>
          <w:sz w:val="26"/>
        </w:rPr>
        <w:t xml:space="preserve"> – 11.81.900(b)</w:t>
      </w:r>
    </w:p>
    <w:p w14:paraId="52052870" w14:textId="77777777" w:rsidR="00D920CB" w:rsidRDefault="00D920CB" w:rsidP="00D920CB">
      <w:pPr>
        <w:tabs>
          <w:tab w:val="right" w:pos="8910"/>
        </w:tabs>
        <w:ind w:left="1440"/>
        <w:jc w:val="both"/>
        <w:rPr>
          <w:rFonts w:ascii="Bookman Old Style" w:hAnsi="Bookman Old Style"/>
          <w:sz w:val="26"/>
        </w:rPr>
      </w:pPr>
      <w:r>
        <w:rPr>
          <w:rFonts w:ascii="Bookman Old Style" w:hAnsi="Bookman Old Style"/>
          <w:sz w:val="26"/>
        </w:rPr>
        <w:t>“dwelling” – 11.81.900(b)</w:t>
      </w:r>
    </w:p>
    <w:p w14:paraId="2AED2BA7" w14:textId="35B084F1" w:rsidR="00D920CB" w:rsidRDefault="00D920CB" w:rsidP="00D920CB">
      <w:pPr>
        <w:tabs>
          <w:tab w:val="right" w:pos="8910"/>
        </w:tabs>
        <w:ind w:left="1440"/>
        <w:jc w:val="both"/>
        <w:rPr>
          <w:rFonts w:ascii="Bookman Old Style" w:hAnsi="Bookman Old Style"/>
          <w:sz w:val="26"/>
        </w:rPr>
      </w:pPr>
      <w:r>
        <w:rPr>
          <w:rFonts w:ascii="Bookman Old Style" w:hAnsi="Bookman Old Style"/>
          <w:sz w:val="26"/>
        </w:rPr>
        <w:t>“</w:t>
      </w:r>
      <w:r>
        <w:rPr>
          <w:rFonts w:ascii="Bookman Old Style" w:hAnsi="Bookman Old Style"/>
          <w:sz w:val="26"/>
        </w:rPr>
        <w:t>force</w:t>
      </w:r>
      <w:r>
        <w:rPr>
          <w:rFonts w:ascii="Bookman Old Style" w:hAnsi="Bookman Old Style"/>
          <w:sz w:val="26"/>
        </w:rPr>
        <w:t>”</w:t>
      </w:r>
      <w:r>
        <w:rPr>
          <w:rFonts w:ascii="Bookman Old Style" w:hAnsi="Bookman Old Style"/>
          <w:sz w:val="26"/>
          <w:szCs w:val="26"/>
        </w:rPr>
        <w:t xml:space="preserve"> – </w:t>
      </w:r>
      <w:r>
        <w:rPr>
          <w:rFonts w:ascii="Bookman Old Style" w:hAnsi="Bookman Old Style"/>
          <w:sz w:val="26"/>
        </w:rPr>
        <w:t>11.81.900(b)</w:t>
      </w:r>
    </w:p>
    <w:p w14:paraId="67B06CC6" w14:textId="77777777" w:rsidR="00D920CB" w:rsidRDefault="00D920CB" w:rsidP="00D920CB">
      <w:pPr>
        <w:tabs>
          <w:tab w:val="right" w:pos="8910"/>
        </w:tabs>
        <w:jc w:val="both"/>
        <w:rPr>
          <w:rFonts w:ascii="Bookman Old Style" w:hAnsi="Bookman Old Style"/>
          <w:color w:val="000000"/>
          <w:sz w:val="26"/>
        </w:rPr>
      </w:pPr>
    </w:p>
    <w:p w14:paraId="7649D03A" w14:textId="77777777" w:rsidR="00D920CB" w:rsidRDefault="00D920CB" w:rsidP="00D920CB">
      <w:pPr>
        <w:pStyle w:val="BodyText2"/>
      </w:pPr>
      <w:r>
        <w:t xml:space="preserve">The defense of property or premises justification is not characterized in the statute as an affirmative defense, so like self-defense and defense of others, it must be disproved beyond a reasonable doubt if placed in issue. </w:t>
      </w:r>
      <w:r w:rsidRPr="00745C76">
        <w:t>See</w:t>
      </w:r>
      <w:r>
        <w:t xml:space="preserve"> AS 11.81.900(b) (defining "defense").</w:t>
      </w:r>
    </w:p>
    <w:p w14:paraId="08C63B48" w14:textId="77777777" w:rsidR="00D920CB" w:rsidRDefault="00D920CB" w:rsidP="00D920CB">
      <w:pPr>
        <w:pStyle w:val="BodyText2"/>
      </w:pPr>
    </w:p>
    <w:p w14:paraId="37DCF686" w14:textId="77777777" w:rsidR="00D920CB" w:rsidRDefault="00D920CB" w:rsidP="00D920CB">
      <w:pPr>
        <w:tabs>
          <w:tab w:val="right" w:pos="8910"/>
        </w:tabs>
        <w:jc w:val="both"/>
        <w:rPr>
          <w:rFonts w:ascii="Bookman Old Style" w:hAnsi="Bookman Old Style"/>
          <w:color w:val="000000"/>
          <w:sz w:val="26"/>
        </w:rPr>
      </w:pPr>
      <w:r>
        <w:rPr>
          <w:rFonts w:ascii="Bookman Old Style" w:hAnsi="Bookman Old Style"/>
          <w:color w:val="000000"/>
          <w:sz w:val="26"/>
        </w:rPr>
        <w:t xml:space="preserve">The trial judge must make a preliminary determination that "some evidence" supporting the defense exists, prior to allowing the jury </w:t>
      </w:r>
      <w:r>
        <w:rPr>
          <w:rFonts w:ascii="Bookman Old Style" w:hAnsi="Bookman Old Style"/>
          <w:color w:val="000000"/>
          <w:sz w:val="26"/>
        </w:rPr>
        <w:lastRenderedPageBreak/>
        <w:t xml:space="preserve">instruction. </w:t>
      </w:r>
      <w:r w:rsidRPr="00D920CB">
        <w:rPr>
          <w:rFonts w:ascii="Bookman Old Style" w:hAnsi="Bookman Old Style"/>
          <w:i/>
          <w:iCs/>
          <w:color w:val="000000"/>
          <w:sz w:val="26"/>
        </w:rPr>
        <w:t>Palmer v. State</w:t>
      </w:r>
      <w:r>
        <w:rPr>
          <w:rFonts w:ascii="Bookman Old Style" w:hAnsi="Bookman Old Style"/>
          <w:color w:val="000000"/>
          <w:sz w:val="26"/>
        </w:rPr>
        <w:t xml:space="preserve">, 770 P.2d 296, 298 (Alaska App. 1989). </w:t>
      </w:r>
      <w:r w:rsidRPr="00D920CB">
        <w:rPr>
          <w:rFonts w:ascii="Bookman Old Style" w:hAnsi="Bookman Old Style"/>
          <w:i/>
          <w:iCs/>
          <w:color w:val="000000"/>
          <w:sz w:val="26"/>
        </w:rPr>
        <w:t>See also</w:t>
      </w:r>
      <w:r>
        <w:rPr>
          <w:rFonts w:ascii="Bookman Old Style" w:hAnsi="Bookman Old Style"/>
          <w:color w:val="000000"/>
          <w:sz w:val="26"/>
        </w:rPr>
        <w:t xml:space="preserve"> Use Notes to Pattern Instructions 11.81.330 and 11.81.335.</w:t>
      </w:r>
    </w:p>
    <w:p w14:paraId="32EA4374" w14:textId="77777777" w:rsidR="00D920CB" w:rsidRDefault="00D920CB" w:rsidP="00D920CB">
      <w:pPr>
        <w:tabs>
          <w:tab w:val="right" w:pos="8910"/>
        </w:tabs>
        <w:jc w:val="both"/>
        <w:rPr>
          <w:rFonts w:ascii="Bookman Old Style" w:hAnsi="Bookman Old Style"/>
          <w:color w:val="000000"/>
          <w:sz w:val="26"/>
        </w:rPr>
      </w:pPr>
    </w:p>
    <w:p w14:paraId="602A8BA3" w14:textId="77777777" w:rsidR="00D920CB" w:rsidRDefault="00D920CB" w:rsidP="00D920CB">
      <w:pPr>
        <w:tabs>
          <w:tab w:val="right" w:pos="8910"/>
        </w:tabs>
        <w:jc w:val="both"/>
        <w:rPr>
          <w:rFonts w:ascii="Bookman Old Style" w:hAnsi="Bookman Old Style"/>
          <w:color w:val="000000"/>
          <w:sz w:val="26"/>
        </w:rPr>
      </w:pPr>
      <w:r>
        <w:rPr>
          <w:rFonts w:ascii="Bookman Old Style" w:hAnsi="Bookman Old Style"/>
          <w:color w:val="000000"/>
          <w:sz w:val="26"/>
        </w:rPr>
        <w:t xml:space="preserve">This justification does not apply when the other person has already completed the offense. </w:t>
      </w:r>
      <w:r w:rsidRPr="00D920CB">
        <w:rPr>
          <w:rFonts w:ascii="Bookman Old Style" w:hAnsi="Bookman Old Style"/>
          <w:i/>
          <w:iCs/>
          <w:color w:val="000000"/>
          <w:sz w:val="26"/>
        </w:rPr>
        <w:t>Woodward v. State</w:t>
      </w:r>
      <w:r>
        <w:rPr>
          <w:rFonts w:ascii="Bookman Old Style" w:hAnsi="Bookman Old Style"/>
          <w:color w:val="000000"/>
          <w:sz w:val="26"/>
        </w:rPr>
        <w:t>, 855 P.2d 423, 428 n.14 (Alaska App. 1993).</w:t>
      </w:r>
    </w:p>
    <w:p w14:paraId="5B3BC587" w14:textId="77777777" w:rsidR="00D920CB" w:rsidRDefault="00D920CB" w:rsidP="00D920CB">
      <w:pPr>
        <w:tabs>
          <w:tab w:val="right" w:pos="8910"/>
        </w:tabs>
        <w:jc w:val="both"/>
        <w:rPr>
          <w:sz w:val="24"/>
        </w:rPr>
      </w:pPr>
    </w:p>
    <w:p w14:paraId="1F15B9AA" w14:textId="77777777" w:rsidR="00D920CB" w:rsidRDefault="00D920CB" w:rsidP="00D920CB">
      <w:pPr>
        <w:tabs>
          <w:tab w:val="right" w:pos="8910"/>
        </w:tabs>
        <w:jc w:val="both"/>
        <w:rPr>
          <w:rFonts w:ascii="Courier New" w:hAnsi="Courier New"/>
          <w:sz w:val="24"/>
        </w:rPr>
      </w:pPr>
      <w:r>
        <w:rPr>
          <w:rFonts w:ascii="Bookman Old Style" w:hAnsi="Bookman Old Style"/>
          <w:color w:val="000000"/>
          <w:sz w:val="26"/>
        </w:rPr>
        <w:t xml:space="preserve">For a discussion of the reasonable belief standard see the Use Note to Pattern Instruction 11.81.330, use of force in defense of self, discussing </w:t>
      </w:r>
      <w:r w:rsidRPr="00D920CB">
        <w:rPr>
          <w:rFonts w:ascii="Bookman Old Style" w:hAnsi="Bookman Old Style"/>
          <w:i/>
          <w:iCs/>
          <w:color w:val="000000"/>
          <w:sz w:val="26"/>
        </w:rPr>
        <w:t>Ha v. State</w:t>
      </w:r>
      <w:r w:rsidRPr="00D920CB">
        <w:rPr>
          <w:rFonts w:ascii="Bookman Old Style" w:hAnsi="Bookman Old Style"/>
          <w:color w:val="000000"/>
          <w:sz w:val="26"/>
        </w:rPr>
        <w:t>,</w:t>
      </w:r>
      <w:r>
        <w:rPr>
          <w:rFonts w:ascii="Bookman Old Style" w:hAnsi="Bookman Old Style"/>
          <w:color w:val="000000"/>
          <w:sz w:val="26"/>
        </w:rPr>
        <w:t xml:space="preserve"> 892 P.2d 184, 194 (Alaska App. 1995).</w:t>
      </w:r>
    </w:p>
    <w:p w14:paraId="1F807EA2" w14:textId="77777777" w:rsidR="00D920CB" w:rsidRDefault="00D920CB" w:rsidP="00D920CB">
      <w:pPr>
        <w:tabs>
          <w:tab w:val="right" w:pos="8910"/>
        </w:tabs>
        <w:jc w:val="both"/>
        <w:rPr>
          <w:rFonts w:ascii="Courier New" w:hAnsi="Courier New"/>
          <w:sz w:val="24"/>
        </w:rPr>
      </w:pPr>
    </w:p>
    <w:p w14:paraId="1F86D875" w14:textId="77777777" w:rsidR="00D920CB" w:rsidRPr="00D920CB" w:rsidRDefault="00D920CB" w:rsidP="00D920CB">
      <w:pPr>
        <w:tabs>
          <w:tab w:val="right" w:pos="8910"/>
        </w:tabs>
        <w:jc w:val="both"/>
        <w:rPr>
          <w:rFonts w:ascii="Bookman Old Style" w:hAnsi="Bookman Old Style"/>
          <w:sz w:val="26"/>
        </w:rPr>
      </w:pPr>
      <w:r w:rsidRPr="00D920CB">
        <w:rPr>
          <w:rFonts w:ascii="Bookman Old Style" w:hAnsi="Bookman Old Style"/>
          <w:sz w:val="26"/>
        </w:rPr>
        <w:t xml:space="preserve">The legislative history behind the limitation on the use of deadly force in property defense to the most dangerous property crimes is discussed in </w:t>
      </w:r>
      <w:r w:rsidRPr="00D920CB">
        <w:rPr>
          <w:rFonts w:ascii="Bookman Old Style" w:hAnsi="Bookman Old Style"/>
          <w:i/>
          <w:iCs/>
          <w:sz w:val="26"/>
        </w:rPr>
        <w:t>Jones-Nelson v. State</w:t>
      </w:r>
      <w:r w:rsidRPr="00D920CB">
        <w:rPr>
          <w:rFonts w:ascii="Bookman Old Style" w:hAnsi="Bookman Old Style"/>
          <w:sz w:val="26"/>
        </w:rPr>
        <w:t>, 512 P.3d 665 (Alaska 2022).</w:t>
      </w:r>
    </w:p>
    <w:p w14:paraId="460DECB9" w14:textId="77777777" w:rsidR="009C533C" w:rsidRDefault="009C533C"/>
    <w:sectPr w:rsidR="009C533C" w:rsidSect="005A511E">
      <w:headerReference w:type="default" r:id="rId4"/>
      <w:footerReference w:type="default" r:id="rId5"/>
      <w:headerReference w:type="first" r:id="rId6"/>
      <w:pgSz w:w="12240" w:h="15840" w:code="1"/>
      <w:pgMar w:top="2880" w:right="1354" w:bottom="1440" w:left="1440" w:header="720" w:footer="720" w:gutter="43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A428" w14:textId="77777777" w:rsidR="00D44250" w:rsidRPr="00E7633F" w:rsidRDefault="00D920CB" w:rsidP="00E7633F">
    <w:pPr>
      <w:pStyle w:val="Footer"/>
      <w:jc w:val="right"/>
      <w:rPr>
        <w:rFonts w:ascii="Arial" w:hAnsi="Arial" w:cs="Arial"/>
        <w:b/>
        <w:sz w:val="32"/>
        <w:szCs w:val="3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C39E" w14:textId="77777777" w:rsidR="00D44250" w:rsidRDefault="00D920CB">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JUSTIFICATION</w:t>
    </w:r>
    <w:r>
      <w:rPr>
        <w:rFonts w:ascii="Bookman Old Style" w:hAnsi="Bookman Old Style"/>
        <w:b/>
        <w:sz w:val="24"/>
      </w:rPr>
      <w:t>—</w:t>
    </w:r>
    <w:r>
      <w:rPr>
        <w:rFonts w:ascii="Bookman Old Style" w:hAnsi="Bookman Old Style"/>
        <w:b/>
        <w:sz w:val="24"/>
      </w:rPr>
      <w:t>USE OF DEADLY FORCE</w:t>
    </w:r>
    <w:r>
      <w:rPr>
        <w:rFonts w:ascii="Bookman Old Style" w:hAnsi="Bookman Old Style"/>
        <w:b/>
        <w:sz w:val="24"/>
      </w:rPr>
      <w:tab/>
      <w:t>11.81.350(c)</w:t>
    </w:r>
    <w:r>
      <w:rPr>
        <w:rFonts w:ascii="Bookman Old Style" w:hAnsi="Bookman Old Style"/>
        <w:b/>
        <w:sz w:val="24"/>
      </w:rPr>
      <w:t>(2)</w:t>
    </w:r>
  </w:p>
  <w:p w14:paraId="55497E88" w14:textId="77777777" w:rsidR="00D44250" w:rsidRDefault="00D920CB">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IN DEFENSE OF PREMISES</w:t>
    </w:r>
  </w:p>
  <w:p w14:paraId="7F880417" w14:textId="77777777" w:rsidR="00D44250" w:rsidRDefault="00D920CB">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 xml:space="preserve">Revised </w:t>
    </w:r>
    <w:r>
      <w:rPr>
        <w:rFonts w:ascii="Bookman Old Style" w:hAnsi="Bookman Old Style"/>
        <w:b/>
        <w:sz w:val="24"/>
      </w:rPr>
      <w:t>202</w:t>
    </w:r>
    <w:r>
      <w:rPr>
        <w:rFonts w:ascii="Bookman Old Style" w:hAnsi="Bookman Old Style"/>
        <w:b/>
        <w:sz w:val="24"/>
      </w:rPr>
      <w:t>5</w:t>
    </w:r>
  </w:p>
  <w:p w14:paraId="2011DAA5" w14:textId="77777777" w:rsidR="00D44250" w:rsidRDefault="00D920CB">
    <w:pPr>
      <w:pStyle w:val="Header"/>
      <w:tabs>
        <w:tab w:val="clear" w:pos="4320"/>
        <w:tab w:val="clear" w:pos="8640"/>
        <w:tab w:val="right" w:pos="9270"/>
      </w:tabs>
      <w:jc w:val="both"/>
      <w:rPr>
        <w:rFonts w:ascii="Bookman Old Style" w:hAnsi="Bookman Old Style"/>
        <w:b/>
        <w:sz w:val="24"/>
      </w:rPr>
    </w:pPr>
    <w:r>
      <w:rPr>
        <w:rFonts w:ascii="Bookman Old Style" w:hAnsi="Bookman Old Style"/>
        <w:b/>
        <w:snapToGrid w:val="0"/>
        <w:sz w:val="24"/>
      </w:rPr>
      <w:t xml:space="preserve">Page </w:t>
    </w:r>
    <w:r>
      <w:rPr>
        <w:rFonts w:ascii="Bookman Old Style" w:hAnsi="Bookman Old Style"/>
        <w:b/>
        <w:snapToGrid w:val="0"/>
        <w:sz w:val="24"/>
      </w:rPr>
      <w:fldChar w:fldCharType="begin"/>
    </w:r>
    <w:r>
      <w:rPr>
        <w:rFonts w:ascii="Bookman Old Style" w:hAnsi="Bookman Old Style"/>
        <w:b/>
        <w:snapToGrid w:val="0"/>
        <w:sz w:val="24"/>
      </w:rPr>
      <w:instrText xml:space="preserve"> PAGE </w:instrText>
    </w:r>
    <w:r>
      <w:rPr>
        <w:rFonts w:ascii="Bookman Old Style" w:hAnsi="Bookman Old Style"/>
        <w:b/>
        <w:snapToGrid w:val="0"/>
        <w:sz w:val="24"/>
      </w:rPr>
      <w:fldChar w:fldCharType="separate"/>
    </w:r>
    <w:r>
      <w:rPr>
        <w:rFonts w:ascii="Bookman Old Style" w:hAnsi="Bookman Old Style"/>
        <w:b/>
        <w:noProof/>
        <w:snapToGrid w:val="0"/>
        <w:sz w:val="24"/>
      </w:rPr>
      <w:t>1</w:t>
    </w:r>
    <w:r>
      <w:rPr>
        <w:rFonts w:ascii="Bookman Old Style" w:hAnsi="Bookman Old Style"/>
        <w:b/>
        <w:snapToGrid w:val="0"/>
        <w:sz w:val="24"/>
      </w:rPr>
      <w:fldChar w:fldCharType="end"/>
    </w:r>
    <w:r>
      <w:rPr>
        <w:rFonts w:ascii="Bookman Old Style" w:hAnsi="Bookman Old Style"/>
        <w:b/>
        <w:snapToGrid w:val="0"/>
        <w:sz w:val="24"/>
      </w:rPr>
      <w:t xml:space="preserve"> of </w:t>
    </w:r>
    <w:r>
      <w:rPr>
        <w:rFonts w:ascii="Bookman Old Style" w:hAnsi="Bookman Old Style"/>
        <w:b/>
        <w:snapToGrid w:val="0"/>
        <w:sz w:val="24"/>
      </w:rPr>
      <w:fldChar w:fldCharType="begin"/>
    </w:r>
    <w:r>
      <w:rPr>
        <w:rFonts w:ascii="Bookman Old Style" w:hAnsi="Bookman Old Style"/>
        <w:b/>
        <w:snapToGrid w:val="0"/>
        <w:sz w:val="24"/>
      </w:rPr>
      <w:instrText xml:space="preserve"> NUMPAGES </w:instrText>
    </w:r>
    <w:r>
      <w:rPr>
        <w:rFonts w:ascii="Bookman Old Style" w:hAnsi="Bookman Old Style"/>
        <w:b/>
        <w:snapToGrid w:val="0"/>
        <w:sz w:val="24"/>
      </w:rPr>
      <w:fldChar w:fldCharType="separate"/>
    </w:r>
    <w:r>
      <w:rPr>
        <w:rFonts w:ascii="Bookman Old Style" w:hAnsi="Bookman Old Style"/>
        <w:b/>
        <w:noProof/>
        <w:snapToGrid w:val="0"/>
        <w:sz w:val="24"/>
      </w:rPr>
      <w:t>2</w:t>
    </w:r>
    <w:r>
      <w:rPr>
        <w:rFonts w:ascii="Bookman Old Style" w:hAnsi="Bookman Old Style"/>
        <w:b/>
        <w:snapToGrid w:val="0"/>
        <w:sz w:val="24"/>
      </w:rPr>
      <w:fldChar w:fldCharType="end"/>
    </w:r>
  </w:p>
  <w:p w14:paraId="67FDC22F" w14:textId="73959192" w:rsidR="00D44250" w:rsidRDefault="00D920CB">
    <w:pPr>
      <w:pStyle w:val="Header"/>
      <w:tabs>
        <w:tab w:val="clear" w:pos="4320"/>
        <w:tab w:val="clear" w:pos="8640"/>
        <w:tab w:val="right" w:pos="9270"/>
      </w:tabs>
      <w:jc w:val="both"/>
      <w:rPr>
        <w:rFonts w:ascii="Courier New" w:hAnsi="Courier New"/>
        <w:sz w:val="24"/>
      </w:rPr>
    </w:pPr>
    <w:r>
      <w:rPr>
        <w:rFonts w:ascii="Bookman Old Style" w:hAnsi="Bookman Old Style"/>
        <w:b/>
        <w:noProof/>
        <w:sz w:val="26"/>
      </w:rPr>
      <mc:AlternateContent>
        <mc:Choice Requires="wps">
          <w:drawing>
            <wp:anchor distT="0" distB="0" distL="114300" distR="114300" simplePos="0" relativeHeight="251659264" behindDoc="0" locked="0" layoutInCell="0" allowOverlap="1" wp14:anchorId="132ABE8C" wp14:editId="46D85083">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B04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" o:allowincell="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DD45" w14:textId="77777777" w:rsidR="00D44250" w:rsidRDefault="00D920CB">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CB"/>
    <w:rsid w:val="009C533C"/>
    <w:rsid w:val="00D92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247A"/>
  <w15:chartTrackingRefBased/>
  <w15:docId w15:val="{52700021-E4E8-43A7-9F9F-4433766E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0C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20CB"/>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20CB"/>
    <w:rPr>
      <w:rFonts w:ascii="Bookman Old Style" w:eastAsia="Times New Roman" w:hAnsi="Bookman Old Style" w:cs="Times New Roman"/>
      <w:b/>
      <w:sz w:val="26"/>
      <w:szCs w:val="20"/>
    </w:rPr>
  </w:style>
  <w:style w:type="paragraph" w:styleId="Header">
    <w:name w:val="header"/>
    <w:basedOn w:val="Normal"/>
    <w:link w:val="HeaderChar"/>
    <w:rsid w:val="00D920CB"/>
    <w:pPr>
      <w:tabs>
        <w:tab w:val="center" w:pos="4320"/>
        <w:tab w:val="right" w:pos="8640"/>
      </w:tabs>
    </w:pPr>
  </w:style>
  <w:style w:type="character" w:customStyle="1" w:styleId="HeaderChar">
    <w:name w:val="Header Char"/>
    <w:basedOn w:val="DefaultParagraphFont"/>
    <w:link w:val="Header"/>
    <w:rsid w:val="00D920CB"/>
    <w:rPr>
      <w:rFonts w:ascii="Times New Roman" w:eastAsia="Times New Roman" w:hAnsi="Times New Roman" w:cs="Times New Roman"/>
      <w:sz w:val="20"/>
      <w:szCs w:val="20"/>
    </w:rPr>
  </w:style>
  <w:style w:type="paragraph" w:styleId="Footer">
    <w:name w:val="footer"/>
    <w:basedOn w:val="Normal"/>
    <w:link w:val="FooterChar"/>
    <w:rsid w:val="00D920CB"/>
    <w:pPr>
      <w:tabs>
        <w:tab w:val="center" w:pos="4320"/>
        <w:tab w:val="right" w:pos="8640"/>
      </w:tabs>
    </w:pPr>
  </w:style>
  <w:style w:type="character" w:customStyle="1" w:styleId="FooterChar">
    <w:name w:val="Footer Char"/>
    <w:basedOn w:val="DefaultParagraphFont"/>
    <w:link w:val="Footer"/>
    <w:rsid w:val="00D920CB"/>
    <w:rPr>
      <w:rFonts w:ascii="Times New Roman" w:eastAsia="Times New Roman" w:hAnsi="Times New Roman" w:cs="Times New Roman"/>
      <w:sz w:val="20"/>
      <w:szCs w:val="20"/>
    </w:rPr>
  </w:style>
  <w:style w:type="paragraph" w:styleId="BodyText">
    <w:name w:val="Body Text"/>
    <w:basedOn w:val="Normal"/>
    <w:link w:val="BodyTextChar"/>
    <w:rsid w:val="00D920CB"/>
    <w:pPr>
      <w:spacing w:before="120" w:after="120" w:line="360" w:lineRule="auto"/>
      <w:ind w:right="18"/>
      <w:jc w:val="both"/>
    </w:pPr>
    <w:rPr>
      <w:rFonts w:ascii="Bookman Old Style" w:hAnsi="Bookman Old Style"/>
      <w:sz w:val="26"/>
    </w:rPr>
  </w:style>
  <w:style w:type="character" w:customStyle="1" w:styleId="BodyTextChar">
    <w:name w:val="Body Text Char"/>
    <w:basedOn w:val="DefaultParagraphFont"/>
    <w:link w:val="BodyText"/>
    <w:rsid w:val="00D920CB"/>
    <w:rPr>
      <w:rFonts w:ascii="Bookman Old Style" w:eastAsia="Times New Roman" w:hAnsi="Bookman Old Style" w:cs="Times New Roman"/>
      <w:sz w:val="26"/>
      <w:szCs w:val="20"/>
    </w:rPr>
  </w:style>
  <w:style w:type="paragraph" w:styleId="BodyText2">
    <w:name w:val="Body Text 2"/>
    <w:basedOn w:val="Normal"/>
    <w:link w:val="BodyText2Char"/>
    <w:rsid w:val="00D920CB"/>
    <w:pPr>
      <w:tabs>
        <w:tab w:val="right" w:pos="8910"/>
      </w:tabs>
      <w:jc w:val="both"/>
    </w:pPr>
    <w:rPr>
      <w:rFonts w:ascii="Bookman Old Style" w:hAnsi="Bookman Old Style"/>
      <w:color w:val="000000"/>
      <w:sz w:val="26"/>
    </w:rPr>
  </w:style>
  <w:style w:type="character" w:customStyle="1" w:styleId="BodyText2Char">
    <w:name w:val="Body Text 2 Char"/>
    <w:basedOn w:val="DefaultParagraphFont"/>
    <w:link w:val="BodyText2"/>
    <w:rsid w:val="00D920CB"/>
    <w:rPr>
      <w:rFonts w:ascii="Bookman Old Style" w:eastAsia="Times New Roman" w:hAnsi="Bookman Old Style" w:cs="Times New Roman"/>
      <w:color w:val="00000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Robinson</dc:creator>
  <cp:keywords/>
  <dc:description/>
  <cp:lastModifiedBy>Hanley Robinson</cp:lastModifiedBy>
  <cp:revision>1</cp:revision>
  <dcterms:created xsi:type="dcterms:W3CDTF">2025-08-29T22:20:00Z</dcterms:created>
  <dcterms:modified xsi:type="dcterms:W3CDTF">2025-08-29T22:29:00Z</dcterms:modified>
</cp:coreProperties>
</file>