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A35F" w14:textId="77777777" w:rsidR="00E66CEA" w:rsidRDefault="00E66CEA" w:rsidP="00E66CEA">
      <w:pPr>
        <w:suppressAutoHyphens/>
        <w:jc w:val="center"/>
        <w:rPr>
          <w:rFonts w:ascii="Bookman Old Style" w:hAnsi="Bookman Old Style"/>
          <w:spacing w:val="-3"/>
          <w:sz w:val="26"/>
        </w:rPr>
      </w:pPr>
      <w:r>
        <w:rPr>
          <w:rFonts w:ascii="Bookman Old Style" w:hAnsi="Bookman Old Style"/>
          <w:spacing w:val="-3"/>
          <w:sz w:val="26"/>
        </w:rPr>
        <w:t>No pattern instruction.</w:t>
      </w:r>
    </w:p>
    <w:p w14:paraId="086974C4" w14:textId="77777777" w:rsidR="00E66CEA" w:rsidRDefault="00E66CEA" w:rsidP="00E66CEA">
      <w:pPr>
        <w:spacing w:before="120" w:line="360" w:lineRule="auto"/>
        <w:ind w:right="18"/>
        <w:jc w:val="both"/>
        <w:rPr>
          <w:rFonts w:ascii="Bookman Old Style" w:hAnsi="Bookman Old Style"/>
          <w:color w:val="000000"/>
          <w:sz w:val="26"/>
        </w:rPr>
      </w:pPr>
    </w:p>
    <w:p w14:paraId="50B1436A" w14:textId="77777777" w:rsidR="00E66CEA" w:rsidRDefault="00E66CEA" w:rsidP="00E66CEA">
      <w:pPr>
        <w:pStyle w:val="Heading2"/>
      </w:pPr>
      <w:r>
        <w:t>USE NOTE</w:t>
      </w:r>
    </w:p>
    <w:p w14:paraId="3B742CE6" w14:textId="77777777" w:rsidR="00E66CEA" w:rsidRDefault="00E66CEA" w:rsidP="00E66CEA">
      <w:pPr>
        <w:suppressAutoHyphens/>
        <w:jc w:val="both"/>
        <w:rPr>
          <w:rFonts w:ascii="Bookman Old Style" w:hAnsi="Bookman Old Style"/>
          <w:spacing w:val="-3"/>
          <w:sz w:val="26"/>
        </w:rPr>
      </w:pPr>
    </w:p>
    <w:p w14:paraId="72EB42E7" w14:textId="77777777" w:rsidR="00E66CEA" w:rsidRDefault="00E66CEA" w:rsidP="00E66CEA">
      <w:pPr>
        <w:suppressAutoHyphens/>
        <w:jc w:val="both"/>
        <w:rPr>
          <w:rFonts w:ascii="Bookman Old Style" w:hAnsi="Bookman Old Style"/>
          <w:spacing w:val="-3"/>
          <w:sz w:val="26"/>
        </w:rPr>
      </w:pPr>
      <w:r>
        <w:rPr>
          <w:rFonts w:ascii="Bookman Old Style" w:hAnsi="Bookman Old Style"/>
          <w:spacing w:val="-3"/>
          <w:sz w:val="26"/>
        </w:rPr>
        <w:t xml:space="preserve">AS 28.35.033(a) sets out three presumptions that arise from blood or breath alcohol test results in a civil or criminal case involving a person who allegedly drove or operated a motor vehicle while under the influence.  </w:t>
      </w:r>
    </w:p>
    <w:p w14:paraId="46727F78" w14:textId="77777777" w:rsidR="00E66CEA" w:rsidRDefault="00E66CEA" w:rsidP="00E66CEA">
      <w:pPr>
        <w:suppressAutoHyphens/>
        <w:jc w:val="both"/>
        <w:rPr>
          <w:rFonts w:ascii="Bookman Old Style" w:hAnsi="Bookman Old Style"/>
          <w:spacing w:val="-3"/>
          <w:sz w:val="26"/>
        </w:rPr>
      </w:pPr>
    </w:p>
    <w:p w14:paraId="3190F9A2" w14:textId="77777777" w:rsidR="00E66CEA" w:rsidRDefault="00E66CEA" w:rsidP="00E66CEA">
      <w:pPr>
        <w:suppressAutoHyphens/>
        <w:jc w:val="both"/>
        <w:rPr>
          <w:rFonts w:ascii="Bookman Old Style" w:hAnsi="Bookman Old Style"/>
          <w:spacing w:val="-3"/>
          <w:sz w:val="26"/>
        </w:rPr>
      </w:pPr>
      <w:r>
        <w:rPr>
          <w:rFonts w:ascii="Bookman Old Style" w:hAnsi="Bookman Old Style"/>
          <w:spacing w:val="-3"/>
          <w:sz w:val="26"/>
        </w:rPr>
        <w:t xml:space="preserve">The statute does not indicate that its application in DUI cases is limited to the "under the influence" theory.  But it appears that the statute predates the enactment of DWI under the .10 theory, when the "under the influence" theory was the only theory of DWI.  At that time, the State could obtain a breath test result from a </w:t>
      </w:r>
      <w:proofErr w:type="spellStart"/>
      <w:r>
        <w:rPr>
          <w:rFonts w:ascii="Bookman Old Style" w:hAnsi="Bookman Old Style"/>
          <w:spacing w:val="-3"/>
          <w:sz w:val="26"/>
        </w:rPr>
        <w:t>Borkenstein</w:t>
      </w:r>
      <w:proofErr w:type="spellEnd"/>
      <w:r>
        <w:rPr>
          <w:rFonts w:ascii="Bookman Old Style" w:hAnsi="Bookman Old Style"/>
          <w:spacing w:val="-3"/>
          <w:sz w:val="26"/>
        </w:rPr>
        <w:t xml:space="preserve"> breathalyzer, which predated the Intoximeter 3000 and </w:t>
      </w:r>
      <w:proofErr w:type="spellStart"/>
      <w:r>
        <w:rPr>
          <w:rFonts w:ascii="Bookman Old Style" w:hAnsi="Bookman Old Style"/>
          <w:spacing w:val="-3"/>
          <w:sz w:val="26"/>
        </w:rPr>
        <w:t>Datamaster</w:t>
      </w:r>
      <w:proofErr w:type="spellEnd"/>
      <w:r>
        <w:rPr>
          <w:rFonts w:ascii="Bookman Old Style" w:hAnsi="Bookman Old Style"/>
          <w:spacing w:val="-3"/>
          <w:sz w:val="26"/>
        </w:rPr>
        <w:t xml:space="preserve"> CDM.  </w:t>
      </w:r>
      <w:r w:rsidRPr="00E66CEA">
        <w:rPr>
          <w:rFonts w:ascii="Bookman Old Style" w:hAnsi="Bookman Old Style"/>
          <w:i/>
          <w:iCs/>
          <w:spacing w:val="-3"/>
          <w:sz w:val="26"/>
        </w:rPr>
        <w:t>See Keel v. State</w:t>
      </w:r>
      <w:r>
        <w:rPr>
          <w:rFonts w:ascii="Bookman Old Style" w:hAnsi="Bookman Old Style"/>
          <w:spacing w:val="-3"/>
          <w:sz w:val="26"/>
        </w:rPr>
        <w:t xml:space="preserve">, 609 P.2d 555 (Alaska 1980).  </w:t>
      </w:r>
    </w:p>
    <w:p w14:paraId="21C589EE" w14:textId="77777777" w:rsidR="00E66CEA" w:rsidRDefault="00E66CEA" w:rsidP="00E66CEA">
      <w:pPr>
        <w:suppressAutoHyphens/>
        <w:jc w:val="both"/>
        <w:rPr>
          <w:rFonts w:ascii="Bookman Old Style" w:hAnsi="Bookman Old Style"/>
          <w:spacing w:val="-3"/>
          <w:sz w:val="26"/>
        </w:rPr>
      </w:pPr>
    </w:p>
    <w:p w14:paraId="32492D47" w14:textId="77777777" w:rsidR="00E66CEA" w:rsidRDefault="00E66CEA" w:rsidP="00E66CEA">
      <w:pPr>
        <w:suppressAutoHyphens/>
        <w:jc w:val="both"/>
        <w:rPr>
          <w:rFonts w:ascii="Bookman Old Style" w:hAnsi="Bookman Old Style"/>
          <w:spacing w:val="-3"/>
          <w:sz w:val="26"/>
        </w:rPr>
      </w:pPr>
      <w:r>
        <w:rPr>
          <w:rFonts w:ascii="Bookman Old Style" w:hAnsi="Bookman Old Style"/>
          <w:spacing w:val="-3"/>
          <w:sz w:val="26"/>
        </w:rPr>
        <w:t>The committee believes that an instruction on the statutory presumptions is likely to confuse a jury in a DUI case unless the State is proceeding only on the "under the influence" theory, but has introduced evidence of blood or breath test results.  In such a case, the committee recommends the following instruction:</w:t>
      </w:r>
    </w:p>
    <w:p w14:paraId="3C5AD103" w14:textId="77777777" w:rsidR="00E66CEA" w:rsidRDefault="00E66CEA" w:rsidP="00E66CEA">
      <w:pPr>
        <w:suppressAutoHyphens/>
        <w:jc w:val="both"/>
        <w:rPr>
          <w:rFonts w:ascii="Bookman Old Style" w:hAnsi="Bookman Old Style"/>
          <w:spacing w:val="-3"/>
          <w:sz w:val="26"/>
        </w:rPr>
      </w:pPr>
    </w:p>
    <w:p w14:paraId="0311403A" w14:textId="77777777" w:rsidR="00E66CEA" w:rsidRDefault="00E66CEA" w:rsidP="00E66CEA">
      <w:pPr>
        <w:tabs>
          <w:tab w:val="left" w:pos="-720"/>
          <w:tab w:val="left" w:pos="0"/>
        </w:tabs>
        <w:suppressAutoHyphens/>
        <w:ind w:left="720" w:right="720" w:hanging="720"/>
        <w:jc w:val="both"/>
        <w:rPr>
          <w:rFonts w:ascii="Bookman Old Style" w:hAnsi="Bookman Old Style"/>
          <w:spacing w:val="-3"/>
          <w:sz w:val="26"/>
        </w:rPr>
      </w:pPr>
      <w:r>
        <w:rPr>
          <w:rFonts w:ascii="Bookman Old Style" w:hAnsi="Bookman Old Style"/>
          <w:spacing w:val="-3"/>
          <w:sz w:val="26"/>
        </w:rPr>
        <w:tab/>
        <w:t>You may consider [breath] [blood] test results in deciding whether the defendant was under the influence of intoxicating liquor.  The results of a [breath] [blood] test give rise to the following inferences:</w:t>
      </w:r>
    </w:p>
    <w:p w14:paraId="47D9A645" w14:textId="77777777" w:rsidR="00E66CEA" w:rsidRDefault="00E66CEA" w:rsidP="00E66CEA">
      <w:pPr>
        <w:tabs>
          <w:tab w:val="left" w:pos="-720"/>
        </w:tabs>
        <w:suppressAutoHyphens/>
        <w:jc w:val="both"/>
        <w:rPr>
          <w:rFonts w:ascii="Bookman Old Style" w:hAnsi="Bookman Old Style"/>
          <w:spacing w:val="-3"/>
          <w:sz w:val="26"/>
        </w:rPr>
      </w:pPr>
    </w:p>
    <w:p w14:paraId="03CC7D90" w14:textId="77777777" w:rsidR="00E66CEA" w:rsidRDefault="00E66CEA" w:rsidP="00E66CEA">
      <w:pPr>
        <w:pStyle w:val="BlockText"/>
      </w:pPr>
      <w:r>
        <w:t>(1)</w:t>
      </w:r>
      <w:r>
        <w:tab/>
        <w:t>If there was [0.04 grams of alcohol or less per 210 liters of the defendant's breath] [40 milligrams or less of alcohol per 100 milliliters of the defendant's blood], you may, but are not required to, infer that the defendant was not under the influence of intoxicating liquor.</w:t>
      </w:r>
    </w:p>
    <w:p w14:paraId="56F9B548" w14:textId="77777777" w:rsidR="00E66CEA" w:rsidRDefault="00E66CEA" w:rsidP="00E66CEA">
      <w:pPr>
        <w:tabs>
          <w:tab w:val="left" w:pos="-720"/>
        </w:tabs>
        <w:suppressAutoHyphens/>
        <w:ind w:left="1440"/>
        <w:jc w:val="both"/>
        <w:rPr>
          <w:rFonts w:ascii="Bookman Old Style" w:hAnsi="Bookman Old Style"/>
          <w:spacing w:val="-3"/>
          <w:sz w:val="26"/>
        </w:rPr>
      </w:pPr>
    </w:p>
    <w:p w14:paraId="44AC7F4C" w14:textId="7ABAFA05" w:rsidR="00E66CEA" w:rsidRDefault="00E66CEA" w:rsidP="00E66CEA">
      <w:pPr>
        <w:tabs>
          <w:tab w:val="left" w:pos="-720"/>
          <w:tab w:val="left" w:pos="0"/>
        </w:tabs>
        <w:suppressAutoHyphens/>
        <w:ind w:left="1440" w:right="720" w:hanging="720"/>
        <w:jc w:val="both"/>
        <w:rPr>
          <w:rFonts w:ascii="Bookman Old Style" w:hAnsi="Bookman Old Style"/>
          <w:spacing w:val="-3"/>
          <w:sz w:val="26"/>
        </w:rPr>
      </w:pPr>
      <w:r>
        <w:rPr>
          <w:rFonts w:ascii="Bookman Old Style" w:hAnsi="Bookman Old Style"/>
          <w:spacing w:val="-3"/>
          <w:sz w:val="26"/>
        </w:rPr>
        <w:t>(2)</w:t>
      </w:r>
      <w:r>
        <w:rPr>
          <w:rFonts w:ascii="Bookman Old Style" w:hAnsi="Bookman Old Style"/>
          <w:spacing w:val="-3"/>
          <w:sz w:val="26"/>
        </w:rPr>
        <w:tab/>
        <w:t xml:space="preserve">If there was [more than 0.04 grams of alcohol per 210 liters of the defendant's breath but less than .08 grams per 210 liters of the defendant's breath] [more than 40 </w:t>
      </w:r>
      <w:r>
        <w:rPr>
          <w:rFonts w:ascii="Bookman Old Style" w:hAnsi="Bookman Old Style"/>
          <w:spacing w:val="-3"/>
          <w:sz w:val="26"/>
        </w:rPr>
        <w:lastRenderedPageBreak/>
        <w:t>but less than</w:t>
      </w:r>
      <w:r w:rsidR="008634DF">
        <w:rPr>
          <w:rFonts w:ascii="Bookman Old Style" w:hAnsi="Bookman Old Style"/>
          <w:spacing w:val="-3"/>
          <w:sz w:val="26"/>
        </w:rPr>
        <w:t xml:space="preserve"> </w:t>
      </w:r>
      <w:r w:rsidR="00F17924">
        <w:rPr>
          <w:rFonts w:ascii="Bookman Old Style" w:hAnsi="Bookman Old Style"/>
          <w:spacing w:val="-3"/>
          <w:sz w:val="26"/>
        </w:rPr>
        <w:t>80</w:t>
      </w:r>
      <w:r>
        <w:rPr>
          <w:rFonts w:ascii="Bookman Old Style" w:hAnsi="Bookman Old Style"/>
          <w:spacing w:val="-3"/>
          <w:sz w:val="26"/>
        </w:rPr>
        <w:t xml:space="preserve"> milligrams of alcohol per 100 milliliters of the defendant's blood], that fact may be considered with other evidence in determining whether the defendant was under the influence of intoxicating liquor.</w:t>
      </w:r>
    </w:p>
    <w:p w14:paraId="289C4EEB" w14:textId="77777777" w:rsidR="00E66CEA" w:rsidRDefault="00E66CEA" w:rsidP="00E66CEA">
      <w:pPr>
        <w:tabs>
          <w:tab w:val="left" w:pos="-720"/>
        </w:tabs>
        <w:suppressAutoHyphens/>
        <w:ind w:left="1440"/>
        <w:jc w:val="both"/>
        <w:rPr>
          <w:rFonts w:ascii="Bookman Old Style" w:hAnsi="Bookman Old Style"/>
          <w:spacing w:val="-3"/>
          <w:sz w:val="26"/>
        </w:rPr>
      </w:pPr>
    </w:p>
    <w:p w14:paraId="0F8C4BB7" w14:textId="77777777" w:rsidR="00E66CEA" w:rsidRDefault="00E66CEA" w:rsidP="00E66CEA">
      <w:pPr>
        <w:tabs>
          <w:tab w:val="left" w:pos="-720"/>
          <w:tab w:val="left" w:pos="0"/>
        </w:tabs>
        <w:suppressAutoHyphens/>
        <w:ind w:left="1440" w:right="720" w:hanging="720"/>
        <w:jc w:val="both"/>
        <w:rPr>
          <w:rFonts w:ascii="Bookman Old Style" w:hAnsi="Bookman Old Style"/>
          <w:spacing w:val="-3"/>
          <w:sz w:val="26"/>
        </w:rPr>
      </w:pPr>
      <w:r>
        <w:rPr>
          <w:rFonts w:ascii="Bookman Old Style" w:hAnsi="Bookman Old Style"/>
          <w:spacing w:val="-3"/>
          <w:sz w:val="26"/>
        </w:rPr>
        <w:t>(3)</w:t>
      </w:r>
      <w:r>
        <w:rPr>
          <w:rFonts w:ascii="Bookman Old Style" w:hAnsi="Bookman Old Style"/>
          <w:spacing w:val="-3"/>
          <w:sz w:val="26"/>
        </w:rPr>
        <w:tab/>
        <w:t>If there was [.08 grams or more per 210 liters of the defendant's breath] [80 milligrams or more of alcohol per 100 milliliters of the defendant's blood], you may, but are not required to, infer that the defendant was under the influence of intoxicating liquor.</w:t>
      </w:r>
    </w:p>
    <w:p w14:paraId="144163C1" w14:textId="77777777" w:rsidR="00E66CEA" w:rsidRDefault="00E66CEA" w:rsidP="00E66CEA">
      <w:pPr>
        <w:tabs>
          <w:tab w:val="left" w:pos="-720"/>
        </w:tabs>
        <w:suppressAutoHyphens/>
        <w:jc w:val="both"/>
        <w:rPr>
          <w:rFonts w:ascii="Bookman Old Style" w:hAnsi="Bookman Old Style"/>
          <w:spacing w:val="-3"/>
          <w:sz w:val="26"/>
        </w:rPr>
      </w:pPr>
    </w:p>
    <w:p w14:paraId="2B9CA667" w14:textId="77777777" w:rsidR="00E66CEA" w:rsidRDefault="00E66CEA" w:rsidP="00E66CEA">
      <w:pPr>
        <w:tabs>
          <w:tab w:val="left" w:pos="-720"/>
          <w:tab w:val="left" w:pos="0"/>
        </w:tabs>
        <w:suppressAutoHyphens/>
        <w:ind w:left="720" w:right="720" w:hanging="720"/>
        <w:jc w:val="both"/>
        <w:rPr>
          <w:rFonts w:ascii="Bookman Old Style" w:hAnsi="Bookman Old Style"/>
          <w:spacing w:val="-3"/>
          <w:sz w:val="26"/>
        </w:rPr>
      </w:pPr>
      <w:r>
        <w:rPr>
          <w:rFonts w:ascii="Bookman Old Style" w:hAnsi="Bookman Old Style"/>
          <w:spacing w:val="-3"/>
          <w:sz w:val="26"/>
        </w:rPr>
        <w:tab/>
        <w:t>These inferences are not intended to limit your consideration of any other evidence bearing on the question of whether the defendant was or was not under the influence of intoxicating liquor.</w:t>
      </w:r>
    </w:p>
    <w:p w14:paraId="33A8753E" w14:textId="77777777" w:rsidR="00E66CEA" w:rsidRDefault="00E66CEA" w:rsidP="00E66CEA">
      <w:pPr>
        <w:spacing w:before="120" w:line="360" w:lineRule="auto"/>
        <w:ind w:right="18"/>
        <w:jc w:val="both"/>
        <w:rPr>
          <w:rFonts w:ascii="Bookman Old Style" w:hAnsi="Bookman Old Style"/>
          <w:color w:val="000000"/>
          <w:sz w:val="26"/>
        </w:rPr>
      </w:pPr>
    </w:p>
    <w:p w14:paraId="1EFA1DDB" w14:textId="77777777" w:rsidR="009C533C" w:rsidRDefault="009C533C"/>
    <w:sectPr w:rsidR="009C533C">
      <w:headerReference w:type="default" r:id="rId6"/>
      <w:headerReference w:type="first" r:id="rId7"/>
      <w:pgSz w:w="12240" w:h="15840" w:code="1"/>
      <w:pgMar w:top="2880" w:right="1350" w:bottom="1440" w:left="1440" w:header="720" w:footer="720" w:gutter="4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1B19" w14:textId="77777777" w:rsidR="00E66CEA" w:rsidRDefault="00E66CEA" w:rsidP="00E66CEA">
      <w:r>
        <w:separator/>
      </w:r>
    </w:p>
  </w:endnote>
  <w:endnote w:type="continuationSeparator" w:id="0">
    <w:p w14:paraId="1C857AB2" w14:textId="77777777" w:rsidR="00E66CEA" w:rsidRDefault="00E66CEA" w:rsidP="00E6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7B12" w14:textId="77777777" w:rsidR="00E66CEA" w:rsidRDefault="00E66CEA" w:rsidP="00E66CEA">
      <w:r>
        <w:separator/>
      </w:r>
    </w:p>
  </w:footnote>
  <w:footnote w:type="continuationSeparator" w:id="0">
    <w:p w14:paraId="117CB7C7" w14:textId="77777777" w:rsidR="00E66CEA" w:rsidRDefault="00E66CEA" w:rsidP="00E66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3F55" w14:textId="77777777" w:rsidR="00DE70BB" w:rsidRPr="00E66CEA" w:rsidRDefault="003919E5">
    <w:pPr>
      <w:pStyle w:val="Header"/>
      <w:tabs>
        <w:tab w:val="clear" w:pos="4320"/>
        <w:tab w:val="clear" w:pos="8640"/>
        <w:tab w:val="right" w:pos="8910"/>
      </w:tabs>
      <w:jc w:val="both"/>
      <w:rPr>
        <w:rFonts w:ascii="Bookman Old Style" w:hAnsi="Bookman Old Style"/>
        <w:b/>
        <w:sz w:val="26"/>
        <w:szCs w:val="26"/>
      </w:rPr>
    </w:pPr>
    <w:r w:rsidRPr="00E66CEA">
      <w:rPr>
        <w:rFonts w:ascii="Bookman Old Style" w:hAnsi="Bookman Old Style"/>
        <w:b/>
        <w:sz w:val="26"/>
        <w:szCs w:val="26"/>
      </w:rPr>
      <w:t>PRESUMPTIONS</w:t>
    </w:r>
    <w:r w:rsidRPr="00E66CEA">
      <w:rPr>
        <w:rFonts w:ascii="Bookman Old Style" w:hAnsi="Bookman Old Style"/>
        <w:b/>
        <w:sz w:val="26"/>
        <w:szCs w:val="26"/>
      </w:rPr>
      <w:tab/>
      <w:t>28.35.033(a)</w:t>
    </w:r>
  </w:p>
  <w:p w14:paraId="78B383D5" w14:textId="77777777" w:rsidR="00DE70BB" w:rsidRPr="00E66CEA" w:rsidRDefault="003919E5">
    <w:pPr>
      <w:pStyle w:val="Header"/>
      <w:tabs>
        <w:tab w:val="clear" w:pos="4320"/>
        <w:tab w:val="clear" w:pos="8640"/>
        <w:tab w:val="right" w:pos="9270"/>
      </w:tabs>
      <w:jc w:val="both"/>
      <w:rPr>
        <w:rFonts w:ascii="Bookman Old Style" w:hAnsi="Bookman Old Style"/>
        <w:bCs/>
        <w:sz w:val="26"/>
        <w:szCs w:val="26"/>
      </w:rPr>
    </w:pPr>
    <w:r w:rsidRPr="00E66CEA">
      <w:rPr>
        <w:rFonts w:ascii="Bookman Old Style" w:hAnsi="Bookman Old Style"/>
        <w:b/>
        <w:sz w:val="26"/>
        <w:szCs w:val="26"/>
      </w:rPr>
      <w:t>Revised 2025</w:t>
    </w:r>
  </w:p>
  <w:p w14:paraId="19D56836" w14:textId="77777777" w:rsidR="00DE70BB" w:rsidRPr="00E66CEA" w:rsidRDefault="003919E5">
    <w:pPr>
      <w:pStyle w:val="Header"/>
      <w:tabs>
        <w:tab w:val="clear" w:pos="4320"/>
        <w:tab w:val="clear" w:pos="8640"/>
        <w:tab w:val="right" w:pos="9270"/>
      </w:tabs>
      <w:jc w:val="both"/>
      <w:rPr>
        <w:rFonts w:ascii="Bookman Old Style" w:hAnsi="Bookman Old Style"/>
        <w:b/>
        <w:sz w:val="26"/>
        <w:szCs w:val="26"/>
      </w:rPr>
    </w:pPr>
    <w:r w:rsidRPr="00E66CEA">
      <w:rPr>
        <w:rFonts w:ascii="Bookman Old Style" w:hAnsi="Bookman Old Style"/>
        <w:b/>
        <w:snapToGrid w:val="0"/>
        <w:sz w:val="26"/>
        <w:szCs w:val="26"/>
      </w:rPr>
      <w:t xml:space="preserve">Page </w:t>
    </w:r>
    <w:r w:rsidRPr="00E66CEA">
      <w:rPr>
        <w:rFonts w:ascii="Bookman Old Style" w:hAnsi="Bookman Old Style"/>
        <w:b/>
        <w:snapToGrid w:val="0"/>
        <w:sz w:val="26"/>
        <w:szCs w:val="26"/>
      </w:rPr>
      <w:fldChar w:fldCharType="begin"/>
    </w:r>
    <w:r w:rsidRPr="00E66CEA">
      <w:rPr>
        <w:rFonts w:ascii="Bookman Old Style" w:hAnsi="Bookman Old Style"/>
        <w:b/>
        <w:snapToGrid w:val="0"/>
        <w:sz w:val="26"/>
        <w:szCs w:val="26"/>
      </w:rPr>
      <w:instrText xml:space="preserve"> PAGE </w:instrText>
    </w:r>
    <w:r w:rsidRPr="00E66CEA">
      <w:rPr>
        <w:rFonts w:ascii="Bookman Old Style" w:hAnsi="Bookman Old Style"/>
        <w:b/>
        <w:snapToGrid w:val="0"/>
        <w:sz w:val="26"/>
        <w:szCs w:val="26"/>
      </w:rPr>
      <w:fldChar w:fldCharType="separate"/>
    </w:r>
    <w:r w:rsidRPr="00E66CEA">
      <w:rPr>
        <w:rFonts w:ascii="Bookman Old Style" w:hAnsi="Bookman Old Style"/>
        <w:b/>
        <w:noProof/>
        <w:snapToGrid w:val="0"/>
        <w:sz w:val="26"/>
        <w:szCs w:val="26"/>
      </w:rPr>
      <w:t>1</w:t>
    </w:r>
    <w:r w:rsidRPr="00E66CEA">
      <w:rPr>
        <w:rFonts w:ascii="Bookman Old Style" w:hAnsi="Bookman Old Style"/>
        <w:b/>
        <w:snapToGrid w:val="0"/>
        <w:sz w:val="26"/>
        <w:szCs w:val="26"/>
      </w:rPr>
      <w:fldChar w:fldCharType="end"/>
    </w:r>
    <w:r w:rsidRPr="00E66CEA">
      <w:rPr>
        <w:rFonts w:ascii="Bookman Old Style" w:hAnsi="Bookman Old Style"/>
        <w:b/>
        <w:snapToGrid w:val="0"/>
        <w:sz w:val="26"/>
        <w:szCs w:val="26"/>
      </w:rPr>
      <w:t xml:space="preserve"> of </w:t>
    </w:r>
    <w:r w:rsidRPr="00E66CEA">
      <w:rPr>
        <w:rFonts w:ascii="Bookman Old Style" w:hAnsi="Bookman Old Style"/>
        <w:b/>
        <w:snapToGrid w:val="0"/>
        <w:sz w:val="26"/>
        <w:szCs w:val="26"/>
      </w:rPr>
      <w:fldChar w:fldCharType="begin"/>
    </w:r>
    <w:r w:rsidRPr="00E66CEA">
      <w:rPr>
        <w:rFonts w:ascii="Bookman Old Style" w:hAnsi="Bookman Old Style"/>
        <w:b/>
        <w:snapToGrid w:val="0"/>
        <w:sz w:val="26"/>
        <w:szCs w:val="26"/>
      </w:rPr>
      <w:instrText xml:space="preserve"> NUMPAGES </w:instrText>
    </w:r>
    <w:r w:rsidRPr="00E66CEA">
      <w:rPr>
        <w:rFonts w:ascii="Bookman Old Style" w:hAnsi="Bookman Old Style"/>
        <w:b/>
        <w:snapToGrid w:val="0"/>
        <w:sz w:val="26"/>
        <w:szCs w:val="26"/>
      </w:rPr>
      <w:fldChar w:fldCharType="separate"/>
    </w:r>
    <w:r w:rsidRPr="00E66CEA">
      <w:rPr>
        <w:rFonts w:ascii="Bookman Old Style" w:hAnsi="Bookman Old Style"/>
        <w:b/>
        <w:noProof/>
        <w:snapToGrid w:val="0"/>
        <w:sz w:val="26"/>
        <w:szCs w:val="26"/>
      </w:rPr>
      <w:t>2</w:t>
    </w:r>
    <w:r w:rsidRPr="00E66CEA">
      <w:rPr>
        <w:rFonts w:ascii="Bookman Old Style" w:hAnsi="Bookman Old Style"/>
        <w:b/>
        <w:snapToGrid w:val="0"/>
        <w:sz w:val="26"/>
        <w:szCs w:val="26"/>
      </w:rPr>
      <w:fldChar w:fldCharType="end"/>
    </w:r>
  </w:p>
  <w:p w14:paraId="2B0B8D66" w14:textId="5C9890CA" w:rsidR="00DE70BB" w:rsidRPr="000E05C4" w:rsidRDefault="00E66CEA">
    <w:pPr>
      <w:pStyle w:val="Header"/>
      <w:tabs>
        <w:tab w:val="clear" w:pos="4320"/>
        <w:tab w:val="clear" w:pos="8640"/>
        <w:tab w:val="right" w:pos="9270"/>
      </w:tabs>
      <w:jc w:val="both"/>
      <w:rPr>
        <w:rFonts w:ascii="Courier New" w:hAnsi="Courier New"/>
        <w:bCs/>
        <w:sz w:val="24"/>
      </w:rPr>
    </w:pPr>
    <w:r w:rsidRPr="000E05C4">
      <w:rPr>
        <w:rFonts w:ascii="Bookman Old Style" w:hAnsi="Bookman Old Style"/>
        <w:bCs/>
        <w:noProof/>
        <w:sz w:val="26"/>
      </w:rPr>
      <mc:AlternateContent>
        <mc:Choice Requires="wps">
          <w:drawing>
            <wp:anchor distT="0" distB="0" distL="114300" distR="114300" simplePos="0" relativeHeight="251659264" behindDoc="0" locked="0" layoutInCell="0" allowOverlap="1" wp14:anchorId="60A68B5C" wp14:editId="16412797">
              <wp:simplePos x="0" y="0"/>
              <wp:positionH relativeFrom="column">
                <wp:posOffset>0</wp:posOffset>
              </wp:positionH>
              <wp:positionV relativeFrom="paragraph">
                <wp:posOffset>92710</wp:posOffset>
              </wp:positionV>
              <wp:extent cx="5669280" cy="508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5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949B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46.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JWygEAAHsDAAAOAAAAZHJzL2Uyb0RvYy54bWysU02P2yAQvVfqf0DcGzuRNt1acfaQ7fay&#10;bSNl+wMmgG1UYBCQ2Pn3HcjHdttbVR/QfD7evMGrh8kadlQhanQtn89qzpQTKLXrW/7j5enDPWcx&#10;gZNg0KmWn1TkD+v371ajb9QCBzRSBUYgLjajb/mQkm+qKopBWYgz9MpRssNgIZEb+koGGAndmmpR&#10;18tqxCB9QKFipOjjOcnXBb/rlEjfuy6qxEzLiVsqZyjnPp/VegVNH8APWlxowD+wsKAdXXqDeoQE&#10;7BD0X1BWi4ARuzQTaCvsOi1UmYGmmdd/TLMbwKsyC4kT/U2m+P9gxbfjNjAtaXecObC0ol0KoPsh&#10;sQ06RwJiYPOs0+hjQ+Ubtw15UjG5nX9G8TMyh5sBXK8K35eTJ5DSUb1pyU70dNt+/IqSauCQsIg2&#10;dcFmSJKDTWU3p9tu1JSYoODdcvlpcU8rFJS7q8kiShU0114fYvqi0LJstNxol5WDBo7PMZ1LryU5&#10;7PBJG1O2bxwbifDiY12XjohGy5zNdTH0+40J7Aj5AZXvcvGbsoAHJwvaoEB+vtgJtDnbRNQ44nvV&#10;4KzmHuVpGzK5HKcNl4kurzE/od/9UvX6z6x/AQAA//8DAFBLAwQUAAYACAAAACEA82KYi9wAAAAG&#10;AQAADwAAAGRycy9kb3ducmV2LnhtbEyPwU7DMBBE70j8g7VI3KhDVEqaxqkQqKpAXNoicd0mSxyI&#10;12nstuHvWU5w3JnR7JtiObpOnWgIrWcDt5MEFHHl65YbA2+71U0GKkTkGjvPZOCbAizLy4sC89qf&#10;eUOnbWyUlHDI0YCNsc+1DpUlh2Hie2LxPvzgMMo5NLoe8CzlrtNpksy0w5blg8WeHi1VX9ujM4BP&#10;6018z9KX+/bZvn7uVoe1zQ7GXF+NDwtQkcb4F4ZffEGHUpj2/sh1UJ0BGRJFnc5AiZvNUxmyF+Fu&#10;Cros9H/88gcAAP//AwBQSwECLQAUAAYACAAAACEAtoM4kv4AAADhAQAAEwAAAAAAAAAAAAAAAAAA&#10;AAAAW0NvbnRlbnRfVHlwZXNdLnhtbFBLAQItABQABgAIAAAAIQA4/SH/1gAAAJQBAAALAAAAAAAA&#10;AAAAAAAAAC8BAABfcmVscy8ucmVsc1BLAQItABQABgAIAAAAIQAXvFJWygEAAHsDAAAOAAAAAAAA&#10;AAAAAAAAAC4CAABkcnMvZTJvRG9jLnhtbFBLAQItABQABgAIAAAAIQDzYpiL3AAAAAYBAAAPAAAA&#10;AAAAAAAAAAAAACQEAABkcnMvZG93bnJldi54bWxQSwUGAAAAAAQABADzAAAALQUAAAAA&#10;" o:allowincell="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5307" w14:textId="77777777" w:rsidR="00DE70BB" w:rsidRDefault="003919E5">
    <w:pPr>
      <w:tabs>
        <w:tab w:val="right" w:pos="8910"/>
      </w:tabs>
      <w:rPr>
        <w:rFonts w:ascii="Courier New" w:hAnsi="Courier New"/>
        <w:sz w:val="24"/>
      </w:rPr>
    </w:pPr>
    <w:r>
      <w:rPr>
        <w:rFonts w:ascii="Courier New" w:hAnsi="Courier New"/>
        <w:sz w:val="24"/>
      </w:rPr>
      <w:t>81.430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EA"/>
    <w:rsid w:val="003919E5"/>
    <w:rsid w:val="008634DF"/>
    <w:rsid w:val="009C533C"/>
    <w:rsid w:val="00E66CEA"/>
    <w:rsid w:val="00ED3793"/>
    <w:rsid w:val="00F1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919A0"/>
  <w15:chartTrackingRefBased/>
  <w15:docId w15:val="{6F1F565F-25AF-4F1F-A840-0D6DB0F1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E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E66CEA"/>
    <w:pPr>
      <w:keepNext/>
      <w:suppressAutoHyphens/>
      <w:jc w:val="center"/>
      <w:outlineLvl w:val="1"/>
    </w:pPr>
    <w:rPr>
      <w:rFonts w:ascii="Bookman Old Style" w:hAnsi="Bookman Old Style"/>
      <w:b/>
      <w:spacing w:val="-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66CEA"/>
    <w:rPr>
      <w:rFonts w:ascii="Bookman Old Style" w:eastAsia="Times New Roman" w:hAnsi="Bookman Old Style" w:cs="Times New Roman"/>
      <w:b/>
      <w:spacing w:val="-3"/>
      <w:sz w:val="26"/>
      <w:szCs w:val="20"/>
    </w:rPr>
  </w:style>
  <w:style w:type="paragraph" w:styleId="Header">
    <w:name w:val="header"/>
    <w:basedOn w:val="Normal"/>
    <w:link w:val="HeaderChar"/>
    <w:rsid w:val="00E66CEA"/>
    <w:pPr>
      <w:tabs>
        <w:tab w:val="center" w:pos="4320"/>
        <w:tab w:val="right" w:pos="8640"/>
      </w:tabs>
    </w:pPr>
  </w:style>
  <w:style w:type="character" w:customStyle="1" w:styleId="HeaderChar">
    <w:name w:val="Header Char"/>
    <w:basedOn w:val="DefaultParagraphFont"/>
    <w:link w:val="Header"/>
    <w:rsid w:val="00E66CEA"/>
    <w:rPr>
      <w:rFonts w:ascii="Times New Roman" w:eastAsia="Times New Roman" w:hAnsi="Times New Roman" w:cs="Times New Roman"/>
      <w:sz w:val="20"/>
      <w:szCs w:val="20"/>
    </w:rPr>
  </w:style>
  <w:style w:type="paragraph" w:styleId="BlockText">
    <w:name w:val="Block Text"/>
    <w:basedOn w:val="Normal"/>
    <w:rsid w:val="00E66CEA"/>
    <w:pPr>
      <w:tabs>
        <w:tab w:val="left" w:pos="-720"/>
        <w:tab w:val="left" w:pos="0"/>
      </w:tabs>
      <w:suppressAutoHyphens/>
      <w:ind w:left="1440" w:right="720" w:hanging="720"/>
      <w:jc w:val="both"/>
    </w:pPr>
    <w:rPr>
      <w:rFonts w:ascii="Bookman Old Style" w:hAnsi="Bookman Old Style"/>
      <w:spacing w:val="-3"/>
      <w:sz w:val="26"/>
    </w:rPr>
  </w:style>
  <w:style w:type="paragraph" w:styleId="Footer">
    <w:name w:val="footer"/>
    <w:basedOn w:val="Normal"/>
    <w:link w:val="FooterChar"/>
    <w:uiPriority w:val="99"/>
    <w:unhideWhenUsed/>
    <w:rsid w:val="00E66CEA"/>
    <w:pPr>
      <w:tabs>
        <w:tab w:val="center" w:pos="4680"/>
        <w:tab w:val="right" w:pos="9360"/>
      </w:tabs>
    </w:pPr>
  </w:style>
  <w:style w:type="character" w:customStyle="1" w:styleId="FooterChar">
    <w:name w:val="Footer Char"/>
    <w:basedOn w:val="DefaultParagraphFont"/>
    <w:link w:val="Footer"/>
    <w:uiPriority w:val="99"/>
    <w:rsid w:val="00E66C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Robinson</dc:creator>
  <cp:keywords/>
  <dc:description/>
  <cp:lastModifiedBy>Hanley Robinson</cp:lastModifiedBy>
  <cp:revision>3</cp:revision>
  <dcterms:created xsi:type="dcterms:W3CDTF">2025-08-29T22:36:00Z</dcterms:created>
  <dcterms:modified xsi:type="dcterms:W3CDTF">2025-11-21T19:49:00Z</dcterms:modified>
</cp:coreProperties>
</file>