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CB" w:rsidRDefault="001154CB">
      <w:pPr>
        <w:ind w:firstLine="8640"/>
        <w:jc w:val="both"/>
        <w:rPr>
          <w:rFonts w:ascii="Bookman Old Style" w:hAnsi="Bookman Old Style"/>
        </w:rPr>
      </w:pPr>
      <w:bookmarkStart w:id="0" w:name="_GoBack"/>
      <w:bookmarkEnd w:id="0"/>
      <w:r>
        <w:rPr>
          <w:rFonts w:ascii="Bookman Old Style" w:hAnsi="Bookman Old Style"/>
        </w:rPr>
        <w:t>8.15</w:t>
      </w:r>
    </w:p>
    <w:p w:rsidR="001154CB" w:rsidRDefault="001154CB">
      <w:pPr>
        <w:jc w:val="both"/>
        <w:rPr>
          <w:rFonts w:ascii="Bookman Old Style" w:hAnsi="Bookman Old Style"/>
        </w:rPr>
      </w:pPr>
    </w:p>
    <w:p w:rsidR="001154CB" w:rsidRDefault="001154CB">
      <w:pPr>
        <w:jc w:val="both"/>
        <w:rPr>
          <w:rFonts w:ascii="Bookman Old Style" w:hAnsi="Bookman Old Style"/>
        </w:rPr>
      </w:pPr>
    </w:p>
    <w:p w:rsidR="001154CB" w:rsidRDefault="001154CB">
      <w:pPr>
        <w:tabs>
          <w:tab w:val="left" w:pos="-1440"/>
        </w:tabs>
        <w:ind w:left="1008" w:hanging="1008"/>
        <w:jc w:val="both"/>
        <w:rPr>
          <w:rFonts w:ascii="Bookman Old Style" w:hAnsi="Bookman Old Style"/>
        </w:rPr>
      </w:pPr>
      <w:r>
        <w:rPr>
          <w:rFonts w:ascii="Bookman Old Style" w:hAnsi="Bookman Old Style"/>
        </w:rPr>
        <w:t>8.15</w:t>
      </w:r>
      <w:r>
        <w:rPr>
          <w:rFonts w:ascii="Bookman Old Style" w:hAnsi="Bookman Old Style"/>
        </w:rPr>
        <w:tab/>
        <w:t xml:space="preserve">  OTHER PROFESSIONAL MALPRACTICE – DUTY OF PROFESSIONAL OTHER THAN HEALTH CARE PROVIDER OR ATTORNEY</w:t>
      </w:r>
    </w:p>
    <w:p w:rsidR="001154CB" w:rsidRDefault="001154CB">
      <w:pPr>
        <w:jc w:val="both"/>
        <w:rPr>
          <w:rFonts w:ascii="Bookman Old Style" w:hAnsi="Bookman Old Style"/>
        </w:rPr>
      </w:pPr>
    </w:p>
    <w:p w:rsidR="001154CB" w:rsidRDefault="001154CB">
      <w:pPr>
        <w:spacing w:line="360" w:lineRule="auto"/>
        <w:jc w:val="both"/>
        <w:rPr>
          <w:rFonts w:ascii="Bookman Old Style" w:hAnsi="Bookman Old Style"/>
        </w:rPr>
      </w:pPr>
      <w:r>
        <w:rPr>
          <w:rFonts w:ascii="Bookman Old Style" w:hAnsi="Bookman Old Style"/>
        </w:rPr>
        <w:t>I will now define for you the negligence of a professional such as the defendant.</w:t>
      </w:r>
    </w:p>
    <w:p w:rsidR="001154CB" w:rsidRDefault="001154CB">
      <w:pPr>
        <w:spacing w:line="360" w:lineRule="auto"/>
        <w:jc w:val="both"/>
        <w:rPr>
          <w:rFonts w:ascii="Bookman Old Style" w:hAnsi="Bookman Old Style"/>
        </w:rPr>
      </w:pPr>
    </w:p>
    <w:p w:rsidR="001154CB" w:rsidRDefault="001154CB">
      <w:pPr>
        <w:spacing w:line="360" w:lineRule="auto"/>
        <w:jc w:val="both"/>
        <w:rPr>
          <w:rFonts w:ascii="Bookman Old Style" w:hAnsi="Bookman Old Style"/>
        </w:rPr>
      </w:pPr>
      <w:r>
        <w:rPr>
          <w:rFonts w:ascii="Bookman Old Style" w:hAnsi="Bookman Old Style"/>
        </w:rPr>
        <w:t>A [insert trade or profession] is negligent if [he] [she] [it] fails to exercise that degree of skill that a reasonably prudent, skilled, and qualified [insert trade or profession] would exercise under the circumstances.</w:t>
      </w:r>
    </w:p>
    <w:p w:rsidR="001154CB" w:rsidRDefault="001154CB">
      <w:pPr>
        <w:spacing w:line="360" w:lineRule="auto"/>
        <w:ind w:firstLine="720"/>
        <w:jc w:val="both"/>
        <w:rPr>
          <w:rFonts w:ascii="Bookman Old Style" w:hAnsi="Bookman Old Style"/>
        </w:rPr>
        <w:sectPr w:rsidR="001154CB">
          <w:footerReference w:type="default" r:id="rId7"/>
          <w:endnotePr>
            <w:numFmt w:val="decimal"/>
          </w:endnotePr>
          <w:pgSz w:w="12240" w:h="15840"/>
          <w:pgMar w:top="1440" w:right="1440" w:bottom="1440" w:left="1440" w:header="1440" w:footer="1440" w:gutter="0"/>
          <w:cols w:space="720"/>
          <w:noEndnote/>
        </w:sectPr>
      </w:pPr>
    </w:p>
    <w:p w:rsidR="001154CB" w:rsidRDefault="001154CB">
      <w:pPr>
        <w:spacing w:line="360" w:lineRule="auto"/>
        <w:jc w:val="both"/>
        <w:rPr>
          <w:rFonts w:ascii="Bookman Old Style" w:hAnsi="Bookman Old Style"/>
        </w:rPr>
      </w:pPr>
    </w:p>
    <w:p w:rsidR="001154CB" w:rsidRDefault="001154CB">
      <w:pPr>
        <w:spacing w:line="360" w:lineRule="auto"/>
        <w:jc w:val="both"/>
        <w:rPr>
          <w:rFonts w:ascii="Bookman Old Style" w:hAnsi="Bookman Old Style"/>
        </w:rPr>
      </w:pPr>
      <w:r>
        <w:rPr>
          <w:rFonts w:ascii="Bookman Old Style" w:hAnsi="Bookman Old Style"/>
        </w:rPr>
        <w:t>If you do not find that the defendant was negligent, you must return a verdict for the defendant.  If you do find that the defendant was negligent, you must also decide whether the defendant’s negligence was a legal cause of the plaintiff’s harm.  I will now instruct you on legal cause.</w:t>
      </w:r>
    </w:p>
    <w:p w:rsidR="001154CB" w:rsidRDefault="001154CB">
      <w:pPr>
        <w:spacing w:line="480" w:lineRule="auto"/>
        <w:jc w:val="both"/>
        <w:rPr>
          <w:rFonts w:ascii="Bookman Old Style" w:hAnsi="Bookman Old Style"/>
        </w:rPr>
      </w:pPr>
    </w:p>
    <w:p w:rsidR="001154CB" w:rsidRDefault="001154CB">
      <w:pPr>
        <w:tabs>
          <w:tab w:val="center" w:pos="4680"/>
        </w:tabs>
        <w:spacing w:line="480" w:lineRule="auto"/>
        <w:jc w:val="both"/>
        <w:rPr>
          <w:rFonts w:ascii="Bookman Old Style" w:hAnsi="Bookman Old Style"/>
          <w:b/>
          <w:caps/>
        </w:rPr>
      </w:pPr>
      <w:r>
        <w:rPr>
          <w:rFonts w:ascii="Bookman Old Style" w:hAnsi="Bookman Old Style"/>
        </w:rPr>
        <w:tab/>
      </w:r>
      <w:r>
        <w:rPr>
          <w:rFonts w:ascii="Bookman Old Style" w:hAnsi="Bookman Old Style"/>
          <w:b/>
          <w:caps/>
        </w:rPr>
        <w:t>Use Note</w:t>
      </w:r>
    </w:p>
    <w:p w:rsidR="001154CB" w:rsidRDefault="001154CB">
      <w:pPr>
        <w:jc w:val="both"/>
        <w:rPr>
          <w:rFonts w:ascii="Bookman Old Style" w:hAnsi="Bookman Old Style"/>
        </w:rPr>
      </w:pPr>
      <w:r>
        <w:rPr>
          <w:rFonts w:ascii="Bookman Old Style" w:hAnsi="Bookman Old Style"/>
        </w:rPr>
        <w:t>This instruction should be used instead of Instruction 8.03 in cases involving claims of negligence in the performance of professional services other than professional legal and health care services. It assumes there is no dispute that the defendant was engaged in a skilled trade or profession.</w:t>
      </w:r>
    </w:p>
    <w:p w:rsidR="001154CB" w:rsidRDefault="001154CB">
      <w:pPr>
        <w:jc w:val="both"/>
        <w:rPr>
          <w:rFonts w:ascii="Bookman Old Style" w:hAnsi="Bookman Old Style"/>
        </w:rPr>
      </w:pPr>
    </w:p>
    <w:p w:rsidR="001154CB" w:rsidRDefault="001154CB">
      <w:pPr>
        <w:jc w:val="both"/>
        <w:rPr>
          <w:rFonts w:ascii="Bookman Old Style" w:hAnsi="Bookman Old Style"/>
        </w:rPr>
      </w:pPr>
      <w:r>
        <w:rPr>
          <w:rFonts w:ascii="Bookman Old Style" w:hAnsi="Bookman Old Style"/>
        </w:rPr>
        <w:t>Instruction 3.06 (Legal Cause) should be given after this instruction.</w:t>
      </w:r>
    </w:p>
    <w:p w:rsidR="001154CB" w:rsidRDefault="001154CB">
      <w:pPr>
        <w:jc w:val="both"/>
        <w:rPr>
          <w:rFonts w:ascii="Bookman Old Style" w:hAnsi="Bookman Old Style"/>
        </w:rPr>
      </w:pPr>
    </w:p>
    <w:p w:rsidR="001154CB" w:rsidRDefault="001154CB">
      <w:pPr>
        <w:tabs>
          <w:tab w:val="center" w:pos="4680"/>
        </w:tabs>
        <w:jc w:val="both"/>
        <w:rPr>
          <w:rFonts w:ascii="Bookman Old Style" w:hAnsi="Bookman Old Style"/>
          <w:b/>
          <w:caps/>
        </w:rPr>
      </w:pPr>
      <w:r>
        <w:rPr>
          <w:rFonts w:ascii="Bookman Old Style" w:hAnsi="Bookman Old Style"/>
        </w:rPr>
        <w:tab/>
      </w:r>
      <w:r>
        <w:rPr>
          <w:rFonts w:ascii="Bookman Old Style" w:hAnsi="Bookman Old Style"/>
          <w:b/>
          <w:caps/>
        </w:rPr>
        <w:t>Comment</w:t>
      </w:r>
    </w:p>
    <w:p w:rsidR="001154CB" w:rsidRDefault="001154CB">
      <w:pPr>
        <w:jc w:val="both"/>
        <w:rPr>
          <w:rFonts w:ascii="Bookman Old Style" w:hAnsi="Bookman Old Style"/>
        </w:rPr>
      </w:pPr>
    </w:p>
    <w:p w:rsidR="001154CB" w:rsidRDefault="001154CB">
      <w:pPr>
        <w:jc w:val="both"/>
        <w:rPr>
          <w:rFonts w:ascii="Bookman Old Style" w:hAnsi="Bookman Old Style"/>
        </w:rPr>
      </w:pPr>
      <w:r>
        <w:rPr>
          <w:rFonts w:ascii="Bookman Old Style" w:hAnsi="Bookman Old Style"/>
        </w:rPr>
        <w:t xml:space="preserve">This instruction is adapted from the one specifically approved in </w:t>
      </w:r>
      <w:r>
        <w:rPr>
          <w:rFonts w:ascii="Bookman Old Style" w:hAnsi="Bookman Old Style"/>
          <w:u w:val="single"/>
        </w:rPr>
        <w:t>John’s Heating Service v. Lamb</w:t>
      </w:r>
      <w:r>
        <w:rPr>
          <w:rFonts w:ascii="Bookman Old Style" w:hAnsi="Bookman Old Style"/>
        </w:rPr>
        <w:t xml:space="preserve">, 46 P.3d 1024, 1038 (Alaska 2002), which applied it to a claim for negligent furnace repair and noted that it was equally applicable to “trades persons including machinists, electricians, and plumbers.”  For the application of professional negligence standards to other professionals, </w:t>
      </w:r>
      <w:r>
        <w:rPr>
          <w:rFonts w:ascii="Bookman Old Style" w:hAnsi="Bookman Old Style"/>
          <w:u w:val="single"/>
        </w:rPr>
        <w:t>see</w:t>
      </w:r>
      <w:r>
        <w:rPr>
          <w:rFonts w:ascii="Bookman Old Style" w:hAnsi="Bookman Old Style"/>
        </w:rPr>
        <w:t xml:space="preserve">, </w:t>
      </w:r>
      <w:r>
        <w:rPr>
          <w:rFonts w:ascii="Bookman Old Style" w:hAnsi="Bookman Old Style"/>
          <w:u w:val="single"/>
        </w:rPr>
        <w:t>e.g</w:t>
      </w:r>
      <w:r>
        <w:rPr>
          <w:rFonts w:ascii="Bookman Old Style" w:hAnsi="Bookman Old Style"/>
        </w:rPr>
        <w:t xml:space="preserve">., </w:t>
      </w:r>
      <w:proofErr w:type="spellStart"/>
      <w:r>
        <w:rPr>
          <w:rFonts w:ascii="Bookman Old Style" w:hAnsi="Bookman Old Style"/>
          <w:u w:val="single"/>
        </w:rPr>
        <w:t>Hutton</w:t>
      </w:r>
      <w:proofErr w:type="spellEnd"/>
      <w:r>
        <w:rPr>
          <w:rFonts w:ascii="Bookman Old Style" w:hAnsi="Bookman Old Style"/>
          <w:u w:val="single"/>
        </w:rPr>
        <w:t xml:space="preserve"> v. Realty Executives, Inc</w:t>
      </w:r>
      <w:r>
        <w:rPr>
          <w:rFonts w:ascii="Bookman Old Style" w:hAnsi="Bookman Old Style"/>
        </w:rPr>
        <w:t xml:space="preserve">., 14 P.3d 977, 979-81 (Alaska 2000) (real estate agents); </w:t>
      </w:r>
      <w:proofErr w:type="spellStart"/>
      <w:r>
        <w:rPr>
          <w:rFonts w:ascii="Bookman Old Style" w:hAnsi="Bookman Old Style"/>
          <w:u w:val="single"/>
        </w:rPr>
        <w:t>Breck</w:t>
      </w:r>
      <w:proofErr w:type="spellEnd"/>
      <w:r>
        <w:rPr>
          <w:rFonts w:ascii="Bookman Old Style" w:hAnsi="Bookman Old Style"/>
          <w:u w:val="single"/>
        </w:rPr>
        <w:t xml:space="preserve"> v. Moore</w:t>
      </w:r>
      <w:r>
        <w:rPr>
          <w:rFonts w:ascii="Bookman Old Style" w:hAnsi="Bookman Old Style"/>
        </w:rPr>
        <w:t xml:space="preserve">, 910 P.2d 599, 603-04 (Alaska 1996) (title insurance company); </w:t>
      </w:r>
      <w:r>
        <w:rPr>
          <w:rFonts w:ascii="Bookman Old Style" w:hAnsi="Bookman Old Style"/>
          <w:u w:val="single"/>
        </w:rPr>
        <w:t xml:space="preserve">Johnson &amp; Higgins of Alaska, Inc. v. </w:t>
      </w:r>
      <w:proofErr w:type="spellStart"/>
      <w:r>
        <w:rPr>
          <w:rFonts w:ascii="Bookman Old Style" w:hAnsi="Bookman Old Style"/>
          <w:u w:val="single"/>
        </w:rPr>
        <w:t>Blomfield</w:t>
      </w:r>
      <w:proofErr w:type="spellEnd"/>
      <w:r>
        <w:rPr>
          <w:rFonts w:ascii="Bookman Old Style" w:hAnsi="Bookman Old Style"/>
        </w:rPr>
        <w:t xml:space="preserve">, 907 P.2d 1371, 1374 (Alaska </w:t>
      </w:r>
      <w:r>
        <w:rPr>
          <w:rFonts w:ascii="Bookman Old Style" w:hAnsi="Bookman Old Style"/>
        </w:rPr>
        <w:lastRenderedPageBreak/>
        <w:t>1995) (insurance agent).</w:t>
      </w:r>
    </w:p>
    <w:p w:rsidR="001154CB" w:rsidRDefault="001154CB">
      <w:pPr>
        <w:jc w:val="both"/>
        <w:rPr>
          <w:rFonts w:ascii="Bookman Old Style" w:hAnsi="Bookman Old Style"/>
        </w:rPr>
      </w:pPr>
    </w:p>
    <w:p w:rsidR="001154CB" w:rsidRDefault="001154CB">
      <w:pPr>
        <w:jc w:val="both"/>
        <w:rPr>
          <w:rFonts w:ascii="Bookman Old Style" w:hAnsi="Bookman Old Style"/>
        </w:rPr>
      </w:pPr>
      <w:r>
        <w:rPr>
          <w:rFonts w:ascii="Bookman Old Style" w:hAnsi="Bookman Old Style"/>
        </w:rPr>
        <w:t xml:space="preserve">Expert testimony establishing the standard of care will generally be required in professional malpractice actions, except ‘in non-technical situations where negligence is evident to lay people.’” </w:t>
      </w:r>
      <w:r>
        <w:rPr>
          <w:rFonts w:ascii="Bookman Old Style" w:hAnsi="Bookman Old Style"/>
          <w:u w:val="single"/>
        </w:rPr>
        <w:t>Johnson &amp; Higgins</w:t>
      </w:r>
      <w:r>
        <w:rPr>
          <w:rFonts w:ascii="Bookman Old Style" w:hAnsi="Bookman Old Style"/>
        </w:rPr>
        <w:t xml:space="preserve">, 907 P.2d at 1374, quoting </w:t>
      </w:r>
      <w:r>
        <w:rPr>
          <w:rFonts w:ascii="Bookman Old Style" w:hAnsi="Bookman Old Style"/>
          <w:u w:val="single"/>
        </w:rPr>
        <w:t>Kendall v. State</w:t>
      </w:r>
      <w:r>
        <w:rPr>
          <w:rFonts w:ascii="Bookman Old Style" w:hAnsi="Bookman Old Style"/>
        </w:rPr>
        <w:t>, 693 P.2d 953, 955 (</w:t>
      </w:r>
      <w:smartTag w:uri="urn:schemas-microsoft-com:office:smarttags" w:element="State">
        <w:smartTag w:uri="urn:schemas-microsoft-com:office:smarttags" w:element="place">
          <w:r>
            <w:rPr>
              <w:rFonts w:ascii="Bookman Old Style" w:hAnsi="Bookman Old Style"/>
            </w:rPr>
            <w:t>Alaska</w:t>
          </w:r>
        </w:smartTag>
      </w:smartTag>
      <w:r>
        <w:rPr>
          <w:rFonts w:ascii="Bookman Old Style" w:hAnsi="Bookman Old Style"/>
        </w:rPr>
        <w:t xml:space="preserve"> 1984). </w:t>
      </w:r>
      <w:r>
        <w:rPr>
          <w:rFonts w:ascii="Bookman Old Style" w:hAnsi="Bookman Old Style"/>
          <w:u w:val="single"/>
        </w:rPr>
        <w:t>Cf</w:t>
      </w:r>
      <w:r>
        <w:rPr>
          <w:rFonts w:ascii="Bookman Old Style" w:hAnsi="Bookman Old Style"/>
        </w:rPr>
        <w:t xml:space="preserve">. </w:t>
      </w:r>
      <w:r>
        <w:rPr>
          <w:rFonts w:ascii="Bookman Old Style" w:hAnsi="Bookman Old Style"/>
          <w:u w:val="single"/>
        </w:rPr>
        <w:t>John’s Heating Service v. Lamb</w:t>
      </w:r>
      <w:r>
        <w:rPr>
          <w:rFonts w:ascii="Bookman Old Style" w:hAnsi="Bookman Old Style"/>
        </w:rPr>
        <w:t>, 46 P.3d at 1038.</w:t>
      </w:r>
    </w:p>
    <w:p w:rsidR="001154CB" w:rsidRDefault="001154CB">
      <w:pPr>
        <w:jc w:val="both"/>
        <w:rPr>
          <w:rFonts w:ascii="Bookman Old Style" w:hAnsi="Bookman Old Style"/>
        </w:rPr>
      </w:pPr>
    </w:p>
    <w:p w:rsidR="001154CB" w:rsidRDefault="001154CB">
      <w:pPr>
        <w:jc w:val="both"/>
        <w:rPr>
          <w:rFonts w:ascii="Bookman Old Style" w:hAnsi="Bookman Old Style"/>
        </w:rPr>
      </w:pPr>
    </w:p>
    <w:sectPr w:rsidR="001154CB">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2235">
      <w:r>
        <w:separator/>
      </w:r>
    </w:p>
  </w:endnote>
  <w:endnote w:type="continuationSeparator" w:id="0">
    <w:p w:rsidR="00000000" w:rsidRDefault="0082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4CB" w:rsidRDefault="001154CB">
    <w:pPr>
      <w:pStyle w:val="Footer"/>
    </w:pPr>
  </w:p>
  <w:p w:rsidR="001154CB" w:rsidRDefault="001154CB">
    <w:pPr>
      <w:pStyle w:val="Footer"/>
      <w:rPr>
        <w:rFonts w:ascii="Bookman Old Style" w:hAnsi="Bookman Old Style"/>
      </w:rPr>
    </w:pPr>
    <w:r>
      <w:rPr>
        <w:rFonts w:ascii="Bookman Old Style" w:hAnsi="Bookman Old Style"/>
      </w:rPr>
      <w:t>REVISED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2235">
      <w:r>
        <w:separator/>
      </w:r>
    </w:p>
  </w:footnote>
  <w:footnote w:type="continuationSeparator" w:id="0">
    <w:p w:rsidR="00000000" w:rsidRDefault="00822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9B"/>
    <w:rsid w:val="001154CB"/>
    <w:rsid w:val="0026314E"/>
    <w:rsid w:val="0063469B"/>
    <w:rsid w:val="0082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8</vt:lpstr>
    </vt:vector>
  </TitlesOfParts>
  <Company>Alaska Court System</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cjohnson</dc:creator>
  <cp:keywords/>
  <dc:description/>
  <cp:lastModifiedBy>Michael Merrington</cp:lastModifiedBy>
  <cp:revision>3</cp:revision>
  <cp:lastPrinted>2003-02-12T19:17:00Z</cp:lastPrinted>
  <dcterms:created xsi:type="dcterms:W3CDTF">2017-04-04T18:49:00Z</dcterms:created>
  <dcterms:modified xsi:type="dcterms:W3CDTF">2017-04-04T18:49:00Z</dcterms:modified>
</cp:coreProperties>
</file>