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314" w:rsidRPr="00603610" w:rsidRDefault="00B532B4">
      <w:pPr>
        <w:widowControl/>
        <w:tabs>
          <w:tab w:val="left" w:pos="-720"/>
          <w:tab w:val="left" w:pos="1440"/>
        </w:tabs>
        <w:suppressAutoHyphens/>
        <w:spacing w:line="360" w:lineRule="auto"/>
        <w:jc w:val="both"/>
        <w:rPr>
          <w:rFonts w:ascii="Times New Roman" w:hAnsi="Times New Roman"/>
          <w:b/>
          <w:spacing w:val="-3"/>
          <w:sz w:val="28"/>
          <w:szCs w:val="28"/>
        </w:rPr>
      </w:pPr>
      <w:r w:rsidRPr="00603610">
        <w:rPr>
          <w:rFonts w:ascii="Times New Roman" w:hAnsi="Times New Roman"/>
          <w:b/>
          <w:spacing w:val="-3"/>
          <w:sz w:val="28"/>
          <w:szCs w:val="28"/>
        </w:rPr>
        <w:t>20.04</w:t>
      </w:r>
      <w:r w:rsidRPr="00603610">
        <w:rPr>
          <w:rFonts w:ascii="Times New Roman" w:hAnsi="Times New Roman"/>
          <w:b/>
          <w:spacing w:val="-3"/>
          <w:sz w:val="28"/>
          <w:szCs w:val="28"/>
        </w:rPr>
        <w:tab/>
        <w:t>LOSS OF FUTURE EARNING CAPACITY</w:t>
      </w:r>
    </w:p>
    <w:p w:rsidR="00703314" w:rsidRPr="00603610" w:rsidRDefault="00703314">
      <w:pPr>
        <w:widowControl/>
        <w:tabs>
          <w:tab w:val="left" w:pos="-720"/>
          <w:tab w:val="left" w:pos="1440"/>
        </w:tabs>
        <w:suppressAutoHyphens/>
        <w:spacing w:line="360" w:lineRule="auto"/>
        <w:jc w:val="both"/>
        <w:rPr>
          <w:rFonts w:ascii="Times New Roman" w:hAnsi="Times New Roman"/>
          <w:spacing w:val="-3"/>
          <w:sz w:val="28"/>
          <w:szCs w:val="28"/>
        </w:rPr>
      </w:pPr>
    </w:p>
    <w:p w:rsidR="00703314" w:rsidRPr="00603610" w:rsidRDefault="00B532B4">
      <w:pPr>
        <w:widowControl/>
        <w:tabs>
          <w:tab w:val="left" w:pos="-720"/>
          <w:tab w:val="left" w:pos="1440"/>
        </w:tabs>
        <w:suppressAutoHyphens/>
        <w:spacing w:line="360" w:lineRule="auto"/>
        <w:jc w:val="both"/>
        <w:rPr>
          <w:rFonts w:ascii="Times New Roman" w:hAnsi="Times New Roman"/>
          <w:spacing w:val="-3"/>
          <w:sz w:val="28"/>
          <w:szCs w:val="28"/>
        </w:rPr>
      </w:pPr>
      <w:r w:rsidRPr="00603610">
        <w:rPr>
          <w:rFonts w:ascii="Times New Roman" w:hAnsi="Times New Roman"/>
          <w:spacing w:val="-3"/>
          <w:sz w:val="28"/>
          <w:szCs w:val="28"/>
        </w:rPr>
        <w:t>The (first, second, etc.) item of economic loss claimed is the reduction in the ability of the plaintiff to earn money in the future.</w:t>
      </w:r>
    </w:p>
    <w:p w:rsidR="00703314" w:rsidRPr="00603610" w:rsidRDefault="00703314">
      <w:pPr>
        <w:widowControl/>
        <w:tabs>
          <w:tab w:val="left" w:pos="-720"/>
          <w:tab w:val="left" w:pos="1440"/>
        </w:tabs>
        <w:suppressAutoHyphens/>
        <w:spacing w:line="360" w:lineRule="auto"/>
        <w:jc w:val="both"/>
        <w:rPr>
          <w:rFonts w:ascii="Times New Roman" w:hAnsi="Times New Roman"/>
          <w:spacing w:val="-3"/>
          <w:sz w:val="28"/>
          <w:szCs w:val="28"/>
        </w:rPr>
      </w:pPr>
    </w:p>
    <w:p w:rsidR="00703314" w:rsidRPr="00603610" w:rsidRDefault="00B532B4">
      <w:pPr>
        <w:widowControl/>
        <w:tabs>
          <w:tab w:val="left" w:pos="-720"/>
          <w:tab w:val="left" w:pos="1440"/>
        </w:tabs>
        <w:suppressAutoHyphens/>
        <w:spacing w:line="360" w:lineRule="auto"/>
        <w:jc w:val="both"/>
        <w:rPr>
          <w:rFonts w:ascii="Times New Roman" w:hAnsi="Times New Roman"/>
          <w:spacing w:val="-3"/>
          <w:sz w:val="28"/>
          <w:szCs w:val="28"/>
        </w:rPr>
      </w:pPr>
      <w:r w:rsidRPr="00603610">
        <w:rPr>
          <w:rFonts w:ascii="Times New Roman" w:hAnsi="Times New Roman"/>
          <w:spacing w:val="-3"/>
          <w:sz w:val="28"/>
          <w:szCs w:val="28"/>
        </w:rPr>
        <w:t xml:space="preserve">You may award the plaintiff a fair amount for any reduction in future ability to earn money that </w:t>
      </w:r>
      <w:r w:rsidR="00603610">
        <w:rPr>
          <w:rFonts w:ascii="Times New Roman" w:hAnsi="Times New Roman"/>
          <w:spacing w:val="-3"/>
          <w:sz w:val="28"/>
          <w:szCs w:val="28"/>
        </w:rPr>
        <w:t>[he she they] [is are]</w:t>
      </w:r>
      <w:r w:rsidRPr="00603610">
        <w:rPr>
          <w:rFonts w:ascii="Times New Roman" w:hAnsi="Times New Roman"/>
          <w:spacing w:val="-3"/>
          <w:sz w:val="28"/>
          <w:szCs w:val="28"/>
        </w:rPr>
        <w:t xml:space="preserve"> reasonably probable to experience.</w:t>
      </w:r>
    </w:p>
    <w:p w:rsidR="00703314" w:rsidRPr="00603610" w:rsidRDefault="00703314">
      <w:pPr>
        <w:widowControl/>
        <w:tabs>
          <w:tab w:val="left" w:pos="-720"/>
          <w:tab w:val="left" w:pos="1440"/>
        </w:tabs>
        <w:suppressAutoHyphens/>
        <w:spacing w:line="360" w:lineRule="auto"/>
        <w:jc w:val="both"/>
        <w:rPr>
          <w:rFonts w:ascii="Times New Roman" w:hAnsi="Times New Roman"/>
          <w:spacing w:val="-3"/>
          <w:sz w:val="28"/>
          <w:szCs w:val="28"/>
        </w:rPr>
      </w:pPr>
    </w:p>
    <w:p w:rsidR="00703314" w:rsidRPr="00603610" w:rsidRDefault="00B532B4">
      <w:pPr>
        <w:widowControl/>
        <w:tabs>
          <w:tab w:val="left" w:pos="-720"/>
          <w:tab w:val="left" w:pos="1440"/>
        </w:tabs>
        <w:suppressAutoHyphens/>
        <w:spacing w:line="360" w:lineRule="auto"/>
        <w:jc w:val="both"/>
        <w:rPr>
          <w:rFonts w:ascii="Times New Roman" w:hAnsi="Times New Roman"/>
          <w:spacing w:val="-3"/>
          <w:sz w:val="28"/>
          <w:szCs w:val="28"/>
        </w:rPr>
      </w:pPr>
      <w:r w:rsidRPr="00603610">
        <w:rPr>
          <w:rFonts w:ascii="Times New Roman" w:hAnsi="Times New Roman"/>
          <w:spacing w:val="-3"/>
          <w:sz w:val="28"/>
          <w:szCs w:val="28"/>
        </w:rPr>
        <w:t xml:space="preserve">To calculate this amount, you must determine the difference between the plaintiff's ability to earn money before the injury and </w:t>
      </w:r>
      <w:r w:rsidR="00603610">
        <w:rPr>
          <w:rFonts w:ascii="Times New Roman" w:hAnsi="Times New Roman"/>
          <w:spacing w:val="-3"/>
          <w:sz w:val="28"/>
          <w:szCs w:val="28"/>
        </w:rPr>
        <w:t>[his her their] ability</w:t>
      </w:r>
      <w:r w:rsidRPr="00603610">
        <w:rPr>
          <w:rFonts w:ascii="Times New Roman" w:hAnsi="Times New Roman"/>
          <w:spacing w:val="-3"/>
          <w:sz w:val="28"/>
          <w:szCs w:val="28"/>
        </w:rPr>
        <w:t xml:space="preserve"> to earn money after the injury.  To do this you may consider the plaintiff's health, physical and mental abilities; </w:t>
      </w:r>
      <w:r w:rsidR="00603610">
        <w:rPr>
          <w:rFonts w:ascii="Times New Roman" w:hAnsi="Times New Roman"/>
          <w:spacing w:val="-3"/>
          <w:sz w:val="28"/>
          <w:szCs w:val="28"/>
        </w:rPr>
        <w:t>[his her their]</w:t>
      </w:r>
      <w:r w:rsidRPr="00603610">
        <w:rPr>
          <w:rFonts w:ascii="Times New Roman" w:hAnsi="Times New Roman"/>
          <w:spacing w:val="-3"/>
          <w:sz w:val="28"/>
          <w:szCs w:val="28"/>
        </w:rPr>
        <w:t xml:space="preserve"> work habits and occupation before the accident; the nature and extent of </w:t>
      </w:r>
      <w:r w:rsidR="00603610">
        <w:rPr>
          <w:rFonts w:ascii="Times New Roman" w:hAnsi="Times New Roman"/>
          <w:spacing w:val="-3"/>
          <w:sz w:val="28"/>
          <w:szCs w:val="28"/>
        </w:rPr>
        <w:t>[his her their]</w:t>
      </w:r>
      <w:r w:rsidRPr="00603610">
        <w:rPr>
          <w:rFonts w:ascii="Times New Roman" w:hAnsi="Times New Roman"/>
          <w:spacing w:val="-3"/>
          <w:sz w:val="28"/>
          <w:szCs w:val="28"/>
        </w:rPr>
        <w:t xml:space="preserve"> injuries; and how long and to what extent </w:t>
      </w:r>
      <w:r w:rsidR="00603610">
        <w:rPr>
          <w:rFonts w:ascii="Times New Roman" w:hAnsi="Times New Roman"/>
          <w:spacing w:val="-3"/>
          <w:sz w:val="28"/>
          <w:szCs w:val="28"/>
        </w:rPr>
        <w:t>[his her their]</w:t>
      </w:r>
      <w:r w:rsidRPr="00603610">
        <w:rPr>
          <w:rFonts w:ascii="Times New Roman" w:hAnsi="Times New Roman"/>
          <w:spacing w:val="-3"/>
          <w:sz w:val="28"/>
          <w:szCs w:val="28"/>
        </w:rPr>
        <w:t xml:space="preserve"> injuries will affect </w:t>
      </w:r>
      <w:r w:rsidR="00603610">
        <w:rPr>
          <w:rFonts w:ascii="Times New Roman" w:hAnsi="Times New Roman"/>
          <w:spacing w:val="-3"/>
          <w:sz w:val="28"/>
          <w:szCs w:val="28"/>
        </w:rPr>
        <w:t>[his her their]</w:t>
      </w:r>
      <w:r w:rsidRPr="00603610">
        <w:rPr>
          <w:rFonts w:ascii="Times New Roman" w:hAnsi="Times New Roman"/>
          <w:spacing w:val="-3"/>
          <w:sz w:val="28"/>
          <w:szCs w:val="28"/>
        </w:rPr>
        <w:t xml:space="preserve"> earning ability in the future.  Your calculation of the plaintiff's ability to earn money before the injury must be based on the plaintiff's life expectancy before the injury occurred.</w:t>
      </w:r>
    </w:p>
    <w:p w:rsidR="00703314" w:rsidRPr="00603610" w:rsidRDefault="00703314">
      <w:pPr>
        <w:widowControl/>
        <w:tabs>
          <w:tab w:val="left" w:pos="-720"/>
          <w:tab w:val="left" w:pos="1440"/>
        </w:tabs>
        <w:suppressAutoHyphens/>
        <w:spacing w:line="360" w:lineRule="auto"/>
        <w:jc w:val="both"/>
        <w:rPr>
          <w:rFonts w:ascii="Times New Roman" w:hAnsi="Times New Roman"/>
          <w:spacing w:val="-3"/>
          <w:sz w:val="28"/>
          <w:szCs w:val="28"/>
        </w:rPr>
      </w:pPr>
    </w:p>
    <w:p w:rsidR="00703314" w:rsidRPr="00603610" w:rsidRDefault="00B532B4">
      <w:pPr>
        <w:pStyle w:val="BodyText"/>
        <w:rPr>
          <w:rFonts w:ascii="Times New Roman" w:hAnsi="Times New Roman"/>
          <w:sz w:val="28"/>
          <w:szCs w:val="28"/>
        </w:rPr>
      </w:pPr>
      <w:r w:rsidRPr="00603610">
        <w:rPr>
          <w:rFonts w:ascii="Times New Roman" w:hAnsi="Times New Roman"/>
          <w:sz w:val="28"/>
          <w:szCs w:val="28"/>
        </w:rPr>
        <w:t xml:space="preserve">To decide the plaintiff's earning ability, both before and after the injury, you may consider the wages </w:t>
      </w:r>
      <w:r w:rsidR="00603610">
        <w:rPr>
          <w:rFonts w:ascii="Times New Roman" w:hAnsi="Times New Roman"/>
          <w:sz w:val="28"/>
          <w:szCs w:val="28"/>
        </w:rPr>
        <w:t>[he she they]</w:t>
      </w:r>
      <w:r w:rsidRPr="00603610">
        <w:rPr>
          <w:rFonts w:ascii="Times New Roman" w:hAnsi="Times New Roman"/>
          <w:sz w:val="28"/>
          <w:szCs w:val="28"/>
        </w:rPr>
        <w:t xml:space="preserve"> earned before and after the injury and any reasonably probable increases in those wages due to promotions or automatic step increases.  You must not make any deduction for any future income taxes [, and you must not consider any pay increases due to increases in the cost of living].</w:t>
      </w:r>
    </w:p>
    <w:p w:rsidR="00703314" w:rsidRPr="00603610" w:rsidRDefault="00703314">
      <w:pPr>
        <w:widowControl/>
        <w:tabs>
          <w:tab w:val="left" w:pos="-720"/>
          <w:tab w:val="left" w:pos="1440"/>
        </w:tabs>
        <w:suppressAutoHyphens/>
        <w:spacing w:line="480" w:lineRule="auto"/>
        <w:jc w:val="both"/>
        <w:rPr>
          <w:rFonts w:ascii="Times New Roman" w:hAnsi="Times New Roman"/>
          <w:spacing w:val="-3"/>
          <w:sz w:val="28"/>
          <w:szCs w:val="28"/>
        </w:rPr>
      </w:pPr>
    </w:p>
    <w:p w:rsidR="00703314" w:rsidRPr="00603610" w:rsidRDefault="00B532B4">
      <w:pPr>
        <w:pStyle w:val="Heading1"/>
        <w:keepLines/>
        <w:spacing w:line="240" w:lineRule="auto"/>
        <w:rPr>
          <w:rFonts w:ascii="Times New Roman" w:hAnsi="Times New Roman"/>
          <w:b/>
          <w:sz w:val="28"/>
          <w:szCs w:val="28"/>
        </w:rPr>
      </w:pPr>
      <w:r w:rsidRPr="00603610">
        <w:rPr>
          <w:rFonts w:ascii="Times New Roman" w:hAnsi="Times New Roman"/>
          <w:b/>
          <w:sz w:val="28"/>
          <w:szCs w:val="28"/>
        </w:rPr>
        <w:lastRenderedPageBreak/>
        <w:t>Use Note</w:t>
      </w:r>
    </w:p>
    <w:p w:rsidR="00703314" w:rsidRPr="00603610" w:rsidRDefault="00703314">
      <w:pPr>
        <w:keepNext/>
        <w:keepLines/>
        <w:rPr>
          <w:rFonts w:ascii="Times New Roman" w:hAnsi="Times New Roman"/>
          <w:sz w:val="28"/>
          <w:szCs w:val="28"/>
        </w:rPr>
      </w:pPr>
    </w:p>
    <w:p w:rsidR="00703314" w:rsidRPr="00603610" w:rsidRDefault="00B532B4">
      <w:pPr>
        <w:keepNext/>
        <w:keepLines/>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This instruction should be used with Instruction 20.01A or 20.01B.</w:t>
      </w:r>
    </w:p>
    <w:p w:rsidR="00703314" w:rsidRPr="00603610" w:rsidRDefault="00B532B4">
      <w:pPr>
        <w:keepNext/>
        <w:keepLines/>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ab/>
      </w:r>
    </w:p>
    <w:p w:rsidR="00703314" w:rsidRPr="00603610" w:rsidRDefault="00B532B4">
      <w:pPr>
        <w:keepNext/>
        <w:keepLines/>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As 09.17.040(c) provides that unless the parties agree to apply the </w:t>
      </w:r>
      <w:r w:rsidRPr="00603610">
        <w:rPr>
          <w:rFonts w:ascii="Times New Roman" w:hAnsi="Times New Roman"/>
          <w:i/>
          <w:spacing w:val="-3"/>
          <w:sz w:val="28"/>
          <w:szCs w:val="28"/>
        </w:rPr>
        <w:t>Beaulieu</w:t>
      </w:r>
      <w:r w:rsidRPr="00603610">
        <w:rPr>
          <w:rFonts w:ascii="Times New Roman" w:hAnsi="Times New Roman"/>
          <w:spacing w:val="-3"/>
          <w:sz w:val="28"/>
          <w:szCs w:val="28"/>
        </w:rPr>
        <w:t xml:space="preserve"> rule, future economic losses are adjusted for inflation and reduced to present value.  In cases where the parties have not agreed to use the </w:t>
      </w:r>
      <w:r w:rsidRPr="00603610">
        <w:rPr>
          <w:rFonts w:ascii="Times New Roman" w:hAnsi="Times New Roman"/>
          <w:i/>
          <w:spacing w:val="-3"/>
          <w:sz w:val="28"/>
          <w:szCs w:val="28"/>
        </w:rPr>
        <w:t>Beaulieu</w:t>
      </w:r>
      <w:r w:rsidRPr="00603610">
        <w:rPr>
          <w:rFonts w:ascii="Times New Roman" w:hAnsi="Times New Roman"/>
          <w:spacing w:val="-3"/>
          <w:sz w:val="28"/>
          <w:szCs w:val="28"/>
        </w:rPr>
        <w:t xml:space="preserve"> rule, the bracketed language in the final paragraph is not used, and the jury must be instructed on Inflation and Present Cash Value, Instruction 20.05. </w:t>
      </w:r>
      <w:r w:rsidR="005C4EE1">
        <w:rPr>
          <w:rFonts w:ascii="Times New Roman" w:hAnsi="Times New Roman"/>
          <w:spacing w:val="-3"/>
          <w:sz w:val="28"/>
          <w:szCs w:val="28"/>
        </w:rPr>
        <w:t xml:space="preserve"> </w:t>
      </w:r>
      <w:r w:rsidRPr="00603610">
        <w:rPr>
          <w:rFonts w:ascii="Times New Roman" w:hAnsi="Times New Roman"/>
          <w:spacing w:val="-3"/>
          <w:sz w:val="28"/>
          <w:szCs w:val="28"/>
        </w:rPr>
        <w:t xml:space="preserve">When the parties agree to use the </w:t>
      </w:r>
      <w:r w:rsidRPr="00603610">
        <w:rPr>
          <w:rFonts w:ascii="Times New Roman" w:hAnsi="Times New Roman"/>
          <w:i/>
          <w:spacing w:val="-3"/>
          <w:sz w:val="28"/>
          <w:szCs w:val="28"/>
        </w:rPr>
        <w:t>Beaulieu</w:t>
      </w:r>
      <w:r w:rsidRPr="00603610">
        <w:rPr>
          <w:rFonts w:ascii="Times New Roman" w:hAnsi="Times New Roman"/>
          <w:spacing w:val="-3"/>
          <w:sz w:val="28"/>
          <w:szCs w:val="28"/>
        </w:rPr>
        <w:t xml:space="preserve"> rule, the bracketed language in the final paragraph must be used, and Instruction 20.05 (Inflation and Present Value) is not given.  Instead, Instruction 20.10 (Future Damages) is given.</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The clauses relating to life expectancy should be used only if it is claimed that the injury is permanent.  In that event, Instruction 20.13 (Life Expectancy) should also be given.</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pStyle w:val="Heading1"/>
        <w:spacing w:line="240" w:lineRule="auto"/>
        <w:rPr>
          <w:rFonts w:ascii="Times New Roman" w:hAnsi="Times New Roman"/>
          <w:b/>
          <w:sz w:val="28"/>
          <w:szCs w:val="28"/>
        </w:rPr>
      </w:pPr>
      <w:r w:rsidRPr="00603610">
        <w:rPr>
          <w:rFonts w:ascii="Times New Roman" w:hAnsi="Times New Roman"/>
          <w:b/>
          <w:sz w:val="28"/>
          <w:szCs w:val="28"/>
        </w:rPr>
        <w:t>Comment</w:t>
      </w:r>
    </w:p>
    <w:p w:rsidR="00703314" w:rsidRPr="00603610" w:rsidRDefault="00703314">
      <w:pPr>
        <w:widowControl/>
        <w:tabs>
          <w:tab w:val="left" w:pos="-720"/>
          <w:tab w:val="left" w:pos="1440"/>
        </w:tabs>
        <w:suppressAutoHyphens/>
        <w:jc w:val="both"/>
        <w:rPr>
          <w:rFonts w:ascii="Times New Roman" w:hAnsi="Times New Roman"/>
          <w:spacing w:val="-3"/>
          <w:sz w:val="28"/>
          <w:szCs w:val="28"/>
          <w:u w:val="single"/>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An award of damages for loss of future earnings or diminished earning capacity was approved in </w:t>
      </w:r>
      <w:proofErr w:type="spellStart"/>
      <w:r w:rsidRPr="00603610">
        <w:rPr>
          <w:rFonts w:ascii="Times New Roman" w:hAnsi="Times New Roman"/>
          <w:i/>
          <w:spacing w:val="-3"/>
          <w:sz w:val="28"/>
          <w:szCs w:val="28"/>
        </w:rPr>
        <w:t>Saslow</w:t>
      </w:r>
      <w:proofErr w:type="spellEnd"/>
      <w:r w:rsidRPr="00603610">
        <w:rPr>
          <w:rFonts w:ascii="Times New Roman" w:hAnsi="Times New Roman"/>
          <w:i/>
          <w:spacing w:val="-3"/>
          <w:sz w:val="28"/>
          <w:szCs w:val="28"/>
        </w:rPr>
        <w:t xml:space="preserve"> v. Rexford</w:t>
      </w:r>
      <w:r w:rsidRPr="00603610">
        <w:rPr>
          <w:rFonts w:ascii="Times New Roman" w:hAnsi="Times New Roman"/>
          <w:spacing w:val="-3"/>
          <w:sz w:val="28"/>
          <w:szCs w:val="28"/>
        </w:rPr>
        <w:t>, 395 P.2d 36, 42 (Alaska 1964) (</w:t>
      </w:r>
      <w:r w:rsidRPr="00603610">
        <w:rPr>
          <w:rFonts w:ascii="Times New Roman" w:hAnsi="Times New Roman"/>
          <w:i/>
          <w:spacing w:val="-3"/>
          <w:sz w:val="28"/>
          <w:szCs w:val="28"/>
        </w:rPr>
        <w:t xml:space="preserve">see </w:t>
      </w:r>
      <w:r w:rsidRPr="00603610">
        <w:rPr>
          <w:rFonts w:ascii="Times New Roman" w:hAnsi="Times New Roman"/>
          <w:spacing w:val="-3"/>
          <w:sz w:val="28"/>
          <w:szCs w:val="28"/>
        </w:rPr>
        <w:t xml:space="preserve">trial court’s instruction on diminished earning capacity at 41); </w:t>
      </w:r>
      <w:r w:rsidR="00466FA6" w:rsidRPr="00603610">
        <w:rPr>
          <w:rFonts w:ascii="Times New Roman" w:hAnsi="Times New Roman"/>
          <w:i/>
          <w:spacing w:val="-3"/>
          <w:sz w:val="28"/>
          <w:szCs w:val="28"/>
        </w:rPr>
        <w:t>State v. Harris</w:t>
      </w:r>
      <w:r w:rsidR="00466FA6" w:rsidRPr="00603610">
        <w:rPr>
          <w:rFonts w:ascii="Times New Roman" w:hAnsi="Times New Roman"/>
          <w:spacing w:val="-3"/>
          <w:sz w:val="28"/>
          <w:szCs w:val="28"/>
        </w:rPr>
        <w:t>, 662 P.2d 946 (Alaska 1983)</w:t>
      </w:r>
      <w:r w:rsidR="00466FA6">
        <w:rPr>
          <w:rFonts w:ascii="Times New Roman" w:hAnsi="Times New Roman"/>
          <w:spacing w:val="-3"/>
          <w:sz w:val="28"/>
          <w:szCs w:val="28"/>
        </w:rPr>
        <w:t xml:space="preserve">; </w:t>
      </w:r>
      <w:r w:rsidR="00466FA6" w:rsidRPr="00603610">
        <w:rPr>
          <w:rFonts w:ascii="Times New Roman" w:hAnsi="Times New Roman"/>
          <w:i/>
          <w:spacing w:val="-3"/>
          <w:sz w:val="28"/>
          <w:szCs w:val="28"/>
        </w:rPr>
        <w:t xml:space="preserve">American National </w:t>
      </w:r>
      <w:proofErr w:type="spellStart"/>
      <w:r w:rsidR="00466FA6" w:rsidRPr="00603610">
        <w:rPr>
          <w:rFonts w:ascii="Times New Roman" w:hAnsi="Times New Roman"/>
          <w:i/>
          <w:spacing w:val="-3"/>
          <w:sz w:val="28"/>
          <w:szCs w:val="28"/>
        </w:rPr>
        <w:t>Watermattress</w:t>
      </w:r>
      <w:proofErr w:type="spellEnd"/>
      <w:r w:rsidR="00466FA6" w:rsidRPr="00603610">
        <w:rPr>
          <w:rFonts w:ascii="Times New Roman" w:hAnsi="Times New Roman"/>
          <w:i/>
          <w:spacing w:val="-3"/>
          <w:sz w:val="28"/>
          <w:szCs w:val="28"/>
        </w:rPr>
        <w:t xml:space="preserve"> Corp. v. Manville</w:t>
      </w:r>
      <w:r w:rsidR="00466FA6" w:rsidRPr="00603610">
        <w:rPr>
          <w:rFonts w:ascii="Times New Roman" w:hAnsi="Times New Roman"/>
          <w:spacing w:val="-3"/>
          <w:sz w:val="28"/>
          <w:szCs w:val="28"/>
        </w:rPr>
        <w:t>, 642 P.2d 1330, 1341-42 (Alaska 1982)</w:t>
      </w:r>
      <w:r w:rsidR="00466FA6">
        <w:rPr>
          <w:rFonts w:ascii="Times New Roman" w:hAnsi="Times New Roman"/>
          <w:spacing w:val="-3"/>
          <w:sz w:val="28"/>
          <w:szCs w:val="28"/>
        </w:rPr>
        <w:t xml:space="preserve">; </w:t>
      </w:r>
      <w:r w:rsidR="00466FA6" w:rsidRPr="00603610">
        <w:rPr>
          <w:rFonts w:ascii="Times New Roman" w:hAnsi="Times New Roman"/>
          <w:i/>
          <w:spacing w:val="-3"/>
          <w:sz w:val="28"/>
          <w:szCs w:val="28"/>
        </w:rPr>
        <w:t>Eggert v. Working</w:t>
      </w:r>
      <w:r w:rsidR="00466FA6" w:rsidRPr="00603610">
        <w:rPr>
          <w:rFonts w:ascii="Times New Roman" w:hAnsi="Times New Roman"/>
          <w:spacing w:val="-3"/>
          <w:sz w:val="28"/>
          <w:szCs w:val="28"/>
        </w:rPr>
        <w:t>, 559 P.2d 1389 (Alaska 1979)</w:t>
      </w:r>
      <w:r w:rsidR="00466FA6">
        <w:rPr>
          <w:rFonts w:ascii="Times New Roman" w:hAnsi="Times New Roman"/>
          <w:spacing w:val="-3"/>
          <w:sz w:val="28"/>
          <w:szCs w:val="28"/>
        </w:rPr>
        <w:t xml:space="preserve">; </w:t>
      </w:r>
      <w:r w:rsidR="00466FA6" w:rsidRPr="00603610">
        <w:rPr>
          <w:rFonts w:ascii="Times New Roman" w:hAnsi="Times New Roman"/>
          <w:i/>
          <w:spacing w:val="-3"/>
          <w:sz w:val="28"/>
          <w:szCs w:val="28"/>
        </w:rPr>
        <w:t>Alaska Airlines, Inc. v. Sweat</w:t>
      </w:r>
      <w:r w:rsidR="00466FA6" w:rsidRPr="00603610">
        <w:rPr>
          <w:rFonts w:ascii="Times New Roman" w:hAnsi="Times New Roman"/>
          <w:spacing w:val="-3"/>
          <w:sz w:val="28"/>
          <w:szCs w:val="28"/>
        </w:rPr>
        <w:t>, 568 P.2d 916, 934 (Alaska 1977)</w:t>
      </w:r>
      <w:r w:rsidR="00466FA6">
        <w:rPr>
          <w:rFonts w:ascii="Times New Roman" w:hAnsi="Times New Roman"/>
          <w:spacing w:val="-3"/>
          <w:sz w:val="28"/>
          <w:szCs w:val="28"/>
        </w:rPr>
        <w:t xml:space="preserve">; </w:t>
      </w:r>
      <w:r w:rsidR="00B57962" w:rsidRPr="00603610">
        <w:rPr>
          <w:rFonts w:ascii="Times New Roman" w:hAnsi="Times New Roman"/>
          <w:i/>
          <w:spacing w:val="-3"/>
          <w:sz w:val="28"/>
          <w:szCs w:val="28"/>
        </w:rPr>
        <w:t>State v. Guinn</w:t>
      </w:r>
      <w:r w:rsidR="00B57962" w:rsidRPr="00603610">
        <w:rPr>
          <w:rFonts w:ascii="Times New Roman" w:hAnsi="Times New Roman"/>
          <w:spacing w:val="-3"/>
          <w:sz w:val="28"/>
          <w:szCs w:val="28"/>
        </w:rPr>
        <w:t>, 555 P.2d 530, 544 n. 35 (Alaska 1976)</w:t>
      </w:r>
      <w:r w:rsidR="00B57962">
        <w:rPr>
          <w:rFonts w:ascii="Times New Roman" w:hAnsi="Times New Roman"/>
          <w:spacing w:val="-3"/>
          <w:sz w:val="28"/>
          <w:szCs w:val="28"/>
        </w:rPr>
        <w:t xml:space="preserve">; </w:t>
      </w:r>
      <w:r w:rsidR="00B57962" w:rsidRPr="00603610">
        <w:rPr>
          <w:rFonts w:ascii="Times New Roman" w:hAnsi="Times New Roman"/>
          <w:i/>
          <w:spacing w:val="-3"/>
          <w:sz w:val="28"/>
          <w:szCs w:val="28"/>
        </w:rPr>
        <w:t>Morrison v. State</w:t>
      </w:r>
      <w:r w:rsidR="00B57962" w:rsidRPr="00603610">
        <w:rPr>
          <w:rFonts w:ascii="Times New Roman" w:hAnsi="Times New Roman"/>
          <w:spacing w:val="-3"/>
          <w:sz w:val="28"/>
          <w:szCs w:val="28"/>
        </w:rPr>
        <w:t>, 516 P.2d 402, 403-05 (Alaska 1973)</w:t>
      </w:r>
      <w:r w:rsidR="00B57962">
        <w:rPr>
          <w:rFonts w:ascii="Times New Roman" w:hAnsi="Times New Roman"/>
          <w:spacing w:val="-3"/>
          <w:sz w:val="28"/>
          <w:szCs w:val="28"/>
        </w:rPr>
        <w:t xml:space="preserve">; </w:t>
      </w:r>
      <w:r w:rsidR="00B57962" w:rsidRPr="00603610">
        <w:rPr>
          <w:rFonts w:ascii="Times New Roman" w:hAnsi="Times New Roman"/>
          <w:i/>
          <w:spacing w:val="-3"/>
          <w:sz w:val="28"/>
          <w:szCs w:val="28"/>
        </w:rPr>
        <w:t>Fruit v. Schreiner</w:t>
      </w:r>
      <w:r w:rsidR="00B57962" w:rsidRPr="00603610">
        <w:rPr>
          <w:rFonts w:ascii="Times New Roman" w:hAnsi="Times New Roman"/>
          <w:spacing w:val="-3"/>
          <w:sz w:val="28"/>
          <w:szCs w:val="28"/>
        </w:rPr>
        <w:t>, 502 P.2d 133, 145 (Alaska 1972)</w:t>
      </w:r>
      <w:r w:rsidR="00B57962">
        <w:rPr>
          <w:rFonts w:ascii="Times New Roman" w:hAnsi="Times New Roman"/>
          <w:spacing w:val="-3"/>
          <w:sz w:val="28"/>
          <w:szCs w:val="28"/>
        </w:rPr>
        <w:t xml:space="preserve">; </w:t>
      </w:r>
      <w:r w:rsidR="00B57962" w:rsidRPr="00603610">
        <w:rPr>
          <w:rFonts w:ascii="Times New Roman" w:hAnsi="Times New Roman"/>
          <w:i/>
          <w:spacing w:val="-3"/>
          <w:sz w:val="28"/>
          <w:szCs w:val="28"/>
        </w:rPr>
        <w:t>Chugach Electric Association v. Lewis</w:t>
      </w:r>
      <w:r w:rsidR="00B57962" w:rsidRPr="00603610">
        <w:rPr>
          <w:rFonts w:ascii="Times New Roman" w:hAnsi="Times New Roman"/>
          <w:spacing w:val="-3"/>
          <w:sz w:val="28"/>
          <w:szCs w:val="28"/>
        </w:rPr>
        <w:t>, 453 P.2d 345, 351 (Alaska 1969)</w:t>
      </w:r>
      <w:r w:rsidR="00B57962">
        <w:rPr>
          <w:rFonts w:ascii="Times New Roman" w:hAnsi="Times New Roman"/>
          <w:spacing w:val="-3"/>
          <w:sz w:val="28"/>
          <w:szCs w:val="28"/>
        </w:rPr>
        <w:t xml:space="preserve">; </w:t>
      </w:r>
      <w:r w:rsidR="00B57962" w:rsidRPr="00603610">
        <w:rPr>
          <w:rFonts w:ascii="Times New Roman" w:hAnsi="Times New Roman"/>
          <w:i/>
          <w:spacing w:val="-3"/>
          <w:sz w:val="28"/>
          <w:szCs w:val="28"/>
        </w:rPr>
        <w:t>Beaulieu v. Elliott</w:t>
      </w:r>
      <w:r w:rsidR="00B57962" w:rsidRPr="00603610">
        <w:rPr>
          <w:rFonts w:ascii="Times New Roman" w:hAnsi="Times New Roman"/>
          <w:spacing w:val="-3"/>
          <w:sz w:val="28"/>
          <w:szCs w:val="28"/>
        </w:rPr>
        <w:t>, 434 P.2d 665, 668 (Alaska 1967)</w:t>
      </w:r>
      <w:r w:rsidR="00B57962">
        <w:rPr>
          <w:rFonts w:ascii="Times New Roman" w:hAnsi="Times New Roman"/>
          <w:spacing w:val="-3"/>
          <w:sz w:val="28"/>
          <w:szCs w:val="28"/>
        </w:rPr>
        <w:t xml:space="preserve">; </w:t>
      </w:r>
      <w:r w:rsidR="00B57962" w:rsidRPr="00B57962">
        <w:rPr>
          <w:rFonts w:ascii="Times New Roman" w:hAnsi="Times New Roman"/>
          <w:i/>
          <w:spacing w:val="-3"/>
          <w:sz w:val="28"/>
          <w:szCs w:val="28"/>
        </w:rPr>
        <w:t xml:space="preserve">City of </w:t>
      </w:r>
      <w:r w:rsidR="00B57962" w:rsidRPr="00B57962">
        <w:rPr>
          <w:rFonts w:ascii="Times New Roman" w:hAnsi="Times New Roman"/>
          <w:i/>
          <w:spacing w:val="-3"/>
          <w:sz w:val="28"/>
          <w:szCs w:val="28"/>
        </w:rPr>
        <w:t>Fairbanks</w:t>
      </w:r>
      <w:r w:rsidR="00B57962" w:rsidRPr="00603610">
        <w:rPr>
          <w:rFonts w:ascii="Times New Roman" w:hAnsi="Times New Roman"/>
          <w:i/>
          <w:spacing w:val="-3"/>
          <w:sz w:val="28"/>
          <w:szCs w:val="28"/>
        </w:rPr>
        <w:t xml:space="preserve"> v. Nesbett</w:t>
      </w:r>
      <w:r w:rsidR="00B57962" w:rsidRPr="00603610">
        <w:rPr>
          <w:rFonts w:ascii="Times New Roman" w:hAnsi="Times New Roman"/>
          <w:spacing w:val="-3"/>
          <w:sz w:val="28"/>
          <w:szCs w:val="28"/>
        </w:rPr>
        <w:t>, 432 P.2d 607, 615-17 (Alaska 1967)</w:t>
      </w:r>
      <w:r w:rsidR="00B57962">
        <w:rPr>
          <w:rFonts w:ascii="Times New Roman" w:hAnsi="Times New Roman"/>
          <w:spacing w:val="-3"/>
          <w:sz w:val="28"/>
          <w:szCs w:val="28"/>
        </w:rPr>
        <w:t xml:space="preserve">; </w:t>
      </w:r>
      <w:r w:rsidR="00B57962" w:rsidRPr="00603610">
        <w:rPr>
          <w:rFonts w:ascii="Times New Roman" w:hAnsi="Times New Roman"/>
          <w:i/>
          <w:spacing w:val="-3"/>
          <w:sz w:val="28"/>
          <w:szCs w:val="28"/>
        </w:rPr>
        <w:t>National Bank of Alaska v. McHugh</w:t>
      </w:r>
      <w:r w:rsidR="00B57962" w:rsidRPr="00603610">
        <w:rPr>
          <w:rFonts w:ascii="Times New Roman" w:hAnsi="Times New Roman"/>
          <w:spacing w:val="-3"/>
          <w:sz w:val="28"/>
          <w:szCs w:val="28"/>
        </w:rPr>
        <w:t>, 416 P.2d 239, 244 (Alaska 1966)</w:t>
      </w:r>
      <w:r w:rsidR="00B57962">
        <w:rPr>
          <w:rFonts w:ascii="Times New Roman" w:hAnsi="Times New Roman"/>
          <w:spacing w:val="-3"/>
          <w:sz w:val="28"/>
          <w:szCs w:val="28"/>
        </w:rPr>
        <w:t xml:space="preserve">; </w:t>
      </w:r>
      <w:r w:rsidRPr="00603610">
        <w:rPr>
          <w:rFonts w:ascii="Times New Roman" w:hAnsi="Times New Roman"/>
          <w:i/>
          <w:spacing w:val="-3"/>
          <w:sz w:val="28"/>
          <w:szCs w:val="28"/>
        </w:rPr>
        <w:t xml:space="preserve">Patrick v. </w:t>
      </w:r>
      <w:proofErr w:type="spellStart"/>
      <w:r w:rsidRPr="00603610">
        <w:rPr>
          <w:rFonts w:ascii="Times New Roman" w:hAnsi="Times New Roman"/>
          <w:i/>
          <w:spacing w:val="-3"/>
          <w:sz w:val="28"/>
          <w:szCs w:val="28"/>
        </w:rPr>
        <w:t>Sedwick</w:t>
      </w:r>
      <w:proofErr w:type="spellEnd"/>
      <w:r w:rsidRPr="00603610">
        <w:rPr>
          <w:rFonts w:ascii="Times New Roman" w:hAnsi="Times New Roman"/>
          <w:spacing w:val="-3"/>
          <w:sz w:val="28"/>
          <w:szCs w:val="28"/>
        </w:rPr>
        <w:t>, 413 P.2d 169, 173, 175 (Alaska 1966</w:t>
      </w:r>
      <w:r w:rsidR="00B57962">
        <w:rPr>
          <w:rFonts w:ascii="Times New Roman" w:hAnsi="Times New Roman"/>
          <w:spacing w:val="-3"/>
          <w:sz w:val="28"/>
          <w:szCs w:val="28"/>
        </w:rPr>
        <w:t>)</w:t>
      </w:r>
      <w:bookmarkStart w:id="0" w:name="_GoBack"/>
      <w:bookmarkEnd w:id="0"/>
      <w:r w:rsidRPr="00603610">
        <w:rPr>
          <w:rFonts w:ascii="Times New Roman" w:hAnsi="Times New Roman"/>
          <w:spacing w:val="-3"/>
          <w:sz w:val="28"/>
          <w:szCs w:val="28"/>
        </w:rPr>
        <w:t>.</w:t>
      </w:r>
      <w:r w:rsidR="00603610" w:rsidRPr="00603610">
        <w:rPr>
          <w:rFonts w:ascii="Times New Roman" w:hAnsi="Times New Roman"/>
          <w:spacing w:val="-3"/>
          <w:sz w:val="28"/>
          <w:szCs w:val="28"/>
        </w:rPr>
        <w:t xml:space="preserve">  </w:t>
      </w:r>
      <w:r w:rsidRPr="00603610">
        <w:rPr>
          <w:rFonts w:ascii="Times New Roman" w:hAnsi="Times New Roman"/>
          <w:i/>
          <w:spacing w:val="-3"/>
          <w:sz w:val="28"/>
          <w:szCs w:val="28"/>
        </w:rPr>
        <w:t>See also</w:t>
      </w:r>
      <w:r w:rsidRPr="00603610">
        <w:rPr>
          <w:rFonts w:ascii="Times New Roman" w:hAnsi="Times New Roman"/>
          <w:spacing w:val="-3"/>
          <w:sz w:val="28"/>
          <w:szCs w:val="28"/>
        </w:rPr>
        <w:t xml:space="preserve"> </w:t>
      </w:r>
      <w:r w:rsidRPr="00603610">
        <w:rPr>
          <w:rFonts w:ascii="Times New Roman" w:hAnsi="Times New Roman"/>
          <w:i/>
          <w:spacing w:val="-3"/>
          <w:sz w:val="28"/>
          <w:szCs w:val="28"/>
        </w:rPr>
        <w:t>Buoy v. ERA Helicopters</w:t>
      </w:r>
      <w:r w:rsidRPr="00603610">
        <w:rPr>
          <w:rFonts w:ascii="Times New Roman" w:hAnsi="Times New Roman"/>
          <w:spacing w:val="-3"/>
          <w:sz w:val="28"/>
          <w:szCs w:val="28"/>
        </w:rPr>
        <w:t xml:space="preserve">, 771 P.2d 439 (Alaska 1989); </w:t>
      </w:r>
      <w:r w:rsidRPr="00603610">
        <w:rPr>
          <w:rFonts w:ascii="Times New Roman" w:hAnsi="Times New Roman"/>
          <w:i/>
          <w:spacing w:val="-3"/>
          <w:sz w:val="28"/>
          <w:szCs w:val="28"/>
        </w:rPr>
        <w:t>Hayes v. Xerox Corp.</w:t>
      </w:r>
      <w:r w:rsidRPr="00603610">
        <w:rPr>
          <w:rFonts w:ascii="Times New Roman" w:hAnsi="Times New Roman"/>
          <w:spacing w:val="-3"/>
          <w:sz w:val="28"/>
          <w:szCs w:val="28"/>
        </w:rPr>
        <w:t>, 718 P.2d 929 (Alaska 1986) (rejecting challenges to adequacy of award for loss of future earnings).</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Alaska case law holds that an award for lost earning capacity is made to compensate for the permanent diminution of the ability to earn money, as opposed to an actual loss of earnings.  </w:t>
      </w:r>
      <w:r w:rsidRPr="00603610">
        <w:rPr>
          <w:rFonts w:ascii="Times New Roman" w:hAnsi="Times New Roman"/>
          <w:i/>
          <w:spacing w:val="-3"/>
          <w:sz w:val="28"/>
          <w:szCs w:val="28"/>
        </w:rPr>
        <w:t>Nesbett</w:t>
      </w:r>
      <w:r w:rsidRPr="00603610">
        <w:rPr>
          <w:rFonts w:ascii="Times New Roman" w:hAnsi="Times New Roman"/>
          <w:spacing w:val="-3"/>
          <w:sz w:val="28"/>
          <w:szCs w:val="28"/>
        </w:rPr>
        <w:t xml:space="preserve">, 432 P.2d at 617 (citing Restatement of Torts § 906, comment C at 550 (1939); </w:t>
      </w:r>
      <w:r w:rsidRPr="00603610">
        <w:rPr>
          <w:rFonts w:ascii="Times New Roman" w:hAnsi="Times New Roman"/>
          <w:i/>
          <w:spacing w:val="-3"/>
          <w:sz w:val="28"/>
          <w:szCs w:val="28"/>
        </w:rPr>
        <w:t>Morrison</w:t>
      </w:r>
      <w:r w:rsidRPr="00603610">
        <w:rPr>
          <w:rFonts w:ascii="Times New Roman" w:hAnsi="Times New Roman"/>
          <w:spacing w:val="-3"/>
          <w:sz w:val="28"/>
          <w:szCs w:val="28"/>
        </w:rPr>
        <w:t xml:space="preserve">, 516 P.2d at 404.  Accordingly, an award of “lost earnings” would not satisfy the injured party’s right to compensation for the loss of earning capacity.  </w:t>
      </w:r>
      <w:r w:rsidRPr="00603610">
        <w:rPr>
          <w:rFonts w:ascii="Times New Roman" w:hAnsi="Times New Roman"/>
          <w:i/>
          <w:spacing w:val="-3"/>
          <w:sz w:val="28"/>
          <w:szCs w:val="28"/>
        </w:rPr>
        <w:t>Morrison</w:t>
      </w:r>
      <w:r w:rsidRPr="00603610">
        <w:rPr>
          <w:rFonts w:ascii="Times New Roman" w:hAnsi="Times New Roman"/>
          <w:spacing w:val="-3"/>
          <w:sz w:val="28"/>
          <w:szCs w:val="28"/>
        </w:rPr>
        <w:t xml:space="preserve"> 516 P.2d at 404; </w:t>
      </w:r>
      <w:r w:rsidRPr="00603610">
        <w:rPr>
          <w:rFonts w:ascii="Times New Roman" w:hAnsi="Times New Roman"/>
          <w:i/>
          <w:spacing w:val="-3"/>
          <w:sz w:val="28"/>
          <w:szCs w:val="28"/>
        </w:rPr>
        <w:t>Grimes</w:t>
      </w:r>
      <w:r w:rsidRPr="00603610">
        <w:rPr>
          <w:rFonts w:ascii="Times New Roman" w:hAnsi="Times New Roman"/>
          <w:spacing w:val="-3"/>
          <w:sz w:val="28"/>
          <w:szCs w:val="28"/>
        </w:rPr>
        <w:t xml:space="preserve">, 641 P.2d at 818.  However, </w:t>
      </w:r>
      <w:r w:rsidRPr="00603610">
        <w:rPr>
          <w:rFonts w:ascii="Times New Roman" w:hAnsi="Times New Roman"/>
          <w:spacing w:val="-3"/>
          <w:sz w:val="28"/>
          <w:szCs w:val="28"/>
        </w:rPr>
        <w:lastRenderedPageBreak/>
        <w:t>in 1986 the legislature enacted AS 09.17.040, which describes recovery for future economic damages.  This statute describes an award for “the amount of wages the injured party could have been expected to earn during future years.” AS 09.17.040(b).  The Supreme Court has not had an opportunity to indicate whether this language requires a change from the concept of a loss of earning capacity.</w:t>
      </w:r>
    </w:p>
    <w:p w:rsidR="00703314" w:rsidRPr="00603610" w:rsidRDefault="00703314">
      <w:pPr>
        <w:widowControl/>
        <w:tabs>
          <w:tab w:val="left" w:pos="-720"/>
          <w:tab w:val="left" w:pos="1440"/>
        </w:tabs>
        <w:suppressAutoHyphens/>
        <w:ind w:left="720"/>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Evidence that plaintiff’s wages were higher for the year after the injury than for the year before and that plaintiff was working steadily at the time of trial is not conclusive to show lack of impairment of earning capacity.  The court has held that where there is evidence that plaintiff has suffered a permanent injury, the whole span of the plaintiff’s life must be considered.  Among factors to be considered are the plaintiff’s pre- and post-injury occupational competence and whether avenues of earning occupational advancement are now closed to the plaintiff.  </w:t>
      </w:r>
      <w:r w:rsidRPr="00603610">
        <w:rPr>
          <w:rFonts w:ascii="Times New Roman" w:hAnsi="Times New Roman"/>
          <w:i/>
          <w:spacing w:val="-3"/>
          <w:sz w:val="28"/>
          <w:szCs w:val="28"/>
        </w:rPr>
        <w:t>See Chugach Electric Association v. Lewis</w:t>
      </w:r>
      <w:r w:rsidRPr="00603610">
        <w:rPr>
          <w:rFonts w:ascii="Times New Roman" w:hAnsi="Times New Roman"/>
          <w:spacing w:val="-3"/>
          <w:sz w:val="28"/>
          <w:szCs w:val="28"/>
        </w:rPr>
        <w:t>, 453 P.2d 345, 351 (Alaska 1969).</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a ruling related to the application of the “reasonable certainty” standard, the court has held that in most circumstances, a loss in future earning capacity cannot be inferred from the mere showing of permanent injury but that the plaintiff must present sufficient evidence so that earning capacity before and after the injury may be compared and the fact-finder may determine whether there has been an impairment in earning capacity and the extent of that impairment.  The need for evidence of impairment is particularly important when the nature of the plaintiff’s injury and occupation is such that the jury could not use its common knowledge and experience to determine the extent of the impairment of the plaintiff’s earning capacity.  </w:t>
      </w:r>
      <w:r w:rsidRPr="00603610">
        <w:rPr>
          <w:rFonts w:ascii="Times New Roman" w:hAnsi="Times New Roman"/>
          <w:i/>
          <w:spacing w:val="-3"/>
          <w:sz w:val="28"/>
          <w:szCs w:val="28"/>
        </w:rPr>
        <w:t>City of Fairbanks v. Nesbett</w:t>
      </w:r>
      <w:r w:rsidRPr="00603610">
        <w:rPr>
          <w:rFonts w:ascii="Times New Roman" w:hAnsi="Times New Roman"/>
          <w:spacing w:val="-3"/>
          <w:sz w:val="28"/>
          <w:szCs w:val="28"/>
        </w:rPr>
        <w:t xml:space="preserve">, 432 P.2d 607, 616-17 (Alaska 1967) (ankle injury to lawyer).  </w:t>
      </w:r>
      <w:r w:rsidRPr="00603610">
        <w:rPr>
          <w:rFonts w:ascii="Times New Roman" w:hAnsi="Times New Roman"/>
          <w:i/>
          <w:spacing w:val="-3"/>
          <w:sz w:val="28"/>
          <w:szCs w:val="28"/>
        </w:rPr>
        <w:t>But see Chugach Electric Association v. Lewis</w:t>
      </w:r>
      <w:r w:rsidRPr="00603610">
        <w:rPr>
          <w:rFonts w:ascii="Times New Roman" w:hAnsi="Times New Roman"/>
          <w:spacing w:val="-3"/>
          <w:sz w:val="28"/>
          <w:szCs w:val="28"/>
        </w:rPr>
        <w:t>, 453 P.2d 345, 351 (Alaska 1969) (implying that jury could invoke its collective wisdom and experience in determining impact of eye injury on future wages and job opportunities of an electrical lineman);</w:t>
      </w:r>
      <w:r w:rsidRPr="00603610">
        <w:rPr>
          <w:rFonts w:ascii="Times New Roman" w:hAnsi="Times New Roman"/>
          <w:spacing w:val="-3"/>
          <w:sz w:val="28"/>
          <w:szCs w:val="28"/>
          <w:u w:val="single"/>
        </w:rPr>
        <w:t xml:space="preserve"> </w:t>
      </w:r>
      <w:r w:rsidRPr="00603610">
        <w:rPr>
          <w:rFonts w:ascii="Times New Roman" w:hAnsi="Times New Roman"/>
          <w:i/>
          <w:spacing w:val="-3"/>
          <w:sz w:val="28"/>
          <w:szCs w:val="28"/>
        </w:rPr>
        <w:t xml:space="preserve">American National </w:t>
      </w:r>
      <w:proofErr w:type="spellStart"/>
      <w:r w:rsidRPr="00603610">
        <w:rPr>
          <w:rFonts w:ascii="Times New Roman" w:hAnsi="Times New Roman"/>
          <w:i/>
          <w:spacing w:val="-3"/>
          <w:sz w:val="28"/>
          <w:szCs w:val="28"/>
        </w:rPr>
        <w:t>Watermattress</w:t>
      </w:r>
      <w:proofErr w:type="spellEnd"/>
      <w:r w:rsidRPr="00603610">
        <w:rPr>
          <w:rFonts w:ascii="Times New Roman" w:hAnsi="Times New Roman"/>
          <w:i/>
          <w:spacing w:val="-3"/>
          <w:sz w:val="28"/>
          <w:szCs w:val="28"/>
        </w:rPr>
        <w:t xml:space="preserve"> Corp. v. Manville</w:t>
      </w:r>
      <w:r w:rsidRPr="00603610">
        <w:rPr>
          <w:rFonts w:ascii="Times New Roman" w:hAnsi="Times New Roman"/>
          <w:spacing w:val="-3"/>
          <w:sz w:val="28"/>
          <w:szCs w:val="28"/>
        </w:rPr>
        <w:t xml:space="preserve">, 642 P.2d 1330 (explaining </w:t>
      </w:r>
      <w:r w:rsidRPr="00603610">
        <w:rPr>
          <w:rFonts w:ascii="Times New Roman" w:hAnsi="Times New Roman"/>
          <w:i/>
          <w:spacing w:val="-3"/>
          <w:sz w:val="28"/>
          <w:szCs w:val="28"/>
        </w:rPr>
        <w:t xml:space="preserve">Nesbett </w:t>
      </w:r>
      <w:r w:rsidRPr="00603610">
        <w:rPr>
          <w:rFonts w:ascii="Times New Roman" w:hAnsi="Times New Roman"/>
          <w:spacing w:val="-3"/>
          <w:sz w:val="28"/>
          <w:szCs w:val="28"/>
        </w:rPr>
        <w:t>on the basis of lack of evidence of effect of injury on employment).</w:t>
      </w:r>
    </w:p>
    <w:p w:rsidR="00703314" w:rsidRPr="00603610" w:rsidRDefault="00703314">
      <w:pPr>
        <w:widowControl/>
        <w:tabs>
          <w:tab w:val="left" w:pos="-720"/>
          <w:tab w:val="left" w:pos="1440"/>
        </w:tabs>
        <w:suppressAutoHyphens/>
        <w:ind w:left="720"/>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The court in </w:t>
      </w:r>
      <w:r w:rsidRPr="00603610">
        <w:rPr>
          <w:rFonts w:ascii="Times New Roman" w:hAnsi="Times New Roman"/>
          <w:i/>
          <w:spacing w:val="-3"/>
          <w:sz w:val="28"/>
          <w:szCs w:val="28"/>
        </w:rPr>
        <w:t>Beaulieu v. Elliott</w:t>
      </w:r>
      <w:r w:rsidRPr="00603610">
        <w:rPr>
          <w:rFonts w:ascii="Times New Roman" w:hAnsi="Times New Roman"/>
          <w:spacing w:val="-3"/>
          <w:sz w:val="28"/>
          <w:szCs w:val="28"/>
        </w:rPr>
        <w:t xml:space="preserve">, 434 P.2d 665, 668 (Alaska 1967), noted that the fact that the plaintiff could be employed in an alternative occupation should be considered in determining the award for loss of future earning capacity.  Similarly, in awarding damages for the loss of future earnings in </w:t>
      </w:r>
      <w:r w:rsidRPr="00603610">
        <w:rPr>
          <w:rFonts w:ascii="Times New Roman" w:hAnsi="Times New Roman"/>
          <w:i/>
          <w:spacing w:val="-3"/>
          <w:sz w:val="28"/>
          <w:szCs w:val="28"/>
        </w:rPr>
        <w:t>Alaska Airlines, Inc. v. Sweat</w:t>
      </w:r>
      <w:r w:rsidRPr="00603610">
        <w:rPr>
          <w:rFonts w:ascii="Times New Roman" w:hAnsi="Times New Roman"/>
          <w:spacing w:val="-3"/>
          <w:sz w:val="28"/>
          <w:szCs w:val="28"/>
        </w:rPr>
        <w:t xml:space="preserve">, 568 P.2d 916, 934 (Alaska 1977), the trial court used the difference between the amount of earnings of the plaintiff’s employment before and after his injury, projected over his work-life.  Actual alternative employment or a reasonable probability for future employment may be considered in determining a damage award for loss in earning capacity.  </w:t>
      </w:r>
      <w:r w:rsidRPr="00603610">
        <w:rPr>
          <w:rFonts w:ascii="Times New Roman" w:hAnsi="Times New Roman"/>
          <w:i/>
          <w:spacing w:val="-3"/>
          <w:sz w:val="28"/>
          <w:szCs w:val="28"/>
        </w:rPr>
        <w:t xml:space="preserve">But see </w:t>
      </w:r>
      <w:proofErr w:type="spellStart"/>
      <w:r w:rsidRPr="00603610">
        <w:rPr>
          <w:rFonts w:ascii="Times New Roman" w:hAnsi="Times New Roman"/>
          <w:i/>
          <w:spacing w:val="-3"/>
          <w:sz w:val="28"/>
          <w:szCs w:val="28"/>
        </w:rPr>
        <w:t>Saslow</w:t>
      </w:r>
      <w:proofErr w:type="spellEnd"/>
      <w:r w:rsidRPr="00603610">
        <w:rPr>
          <w:rFonts w:ascii="Times New Roman" w:hAnsi="Times New Roman"/>
          <w:i/>
          <w:spacing w:val="-3"/>
          <w:sz w:val="28"/>
          <w:szCs w:val="28"/>
        </w:rPr>
        <w:t xml:space="preserve"> v. Rexford</w:t>
      </w:r>
      <w:r w:rsidRPr="00603610">
        <w:rPr>
          <w:rFonts w:ascii="Times New Roman" w:hAnsi="Times New Roman"/>
          <w:spacing w:val="-3"/>
          <w:sz w:val="28"/>
          <w:szCs w:val="28"/>
        </w:rPr>
        <w:t>, 395 P.2d 36, 42 (Alaska 1964).</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An award for future loss of earnings is not to be reduced by the amount the plaintiff receives from a disability retirement pension, at least when the damage award represents expected future earnings exclusive of retirement pay and the disability pension is equivalent to expected retirement income.  </w:t>
      </w:r>
      <w:r w:rsidRPr="00603610">
        <w:rPr>
          <w:rFonts w:ascii="Times New Roman" w:hAnsi="Times New Roman"/>
          <w:i/>
          <w:spacing w:val="-3"/>
          <w:sz w:val="28"/>
          <w:szCs w:val="28"/>
        </w:rPr>
        <w:t>Beaulieu v. Elliott</w:t>
      </w:r>
      <w:r w:rsidRPr="00603610">
        <w:rPr>
          <w:rFonts w:ascii="Times New Roman" w:hAnsi="Times New Roman"/>
          <w:spacing w:val="-3"/>
          <w:sz w:val="28"/>
          <w:szCs w:val="28"/>
        </w:rPr>
        <w:t>, 434 P. 2d 665, 672 (Alaska 1967).</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w:t>
      </w:r>
      <w:r w:rsidRPr="00603610">
        <w:rPr>
          <w:rFonts w:ascii="Times New Roman" w:hAnsi="Times New Roman"/>
          <w:i/>
          <w:spacing w:val="-3"/>
          <w:sz w:val="28"/>
          <w:szCs w:val="28"/>
        </w:rPr>
        <w:t>Beaulieu</w:t>
      </w:r>
      <w:r w:rsidRPr="00603610">
        <w:rPr>
          <w:rFonts w:ascii="Times New Roman" w:hAnsi="Times New Roman"/>
          <w:spacing w:val="-3"/>
          <w:sz w:val="28"/>
          <w:szCs w:val="28"/>
        </w:rPr>
        <w:t xml:space="preserve">, however, the court initially held that in determining an award for loss of future earnings, wage increases which commonly occur as one progresses in his or her chosen profession were not to be </w:t>
      </w:r>
      <w:proofErr w:type="gramStart"/>
      <w:r w:rsidRPr="00603610">
        <w:rPr>
          <w:rFonts w:ascii="Times New Roman" w:hAnsi="Times New Roman"/>
          <w:spacing w:val="-3"/>
          <w:sz w:val="28"/>
          <w:szCs w:val="28"/>
        </w:rPr>
        <w:t>taken into account</w:t>
      </w:r>
      <w:proofErr w:type="gramEnd"/>
      <w:r w:rsidRPr="00603610">
        <w:rPr>
          <w:rFonts w:ascii="Times New Roman" w:hAnsi="Times New Roman"/>
          <w:spacing w:val="-3"/>
          <w:sz w:val="28"/>
          <w:szCs w:val="28"/>
        </w:rPr>
        <w:t xml:space="preserve">.  </w:t>
      </w:r>
      <w:r w:rsidRPr="00603610">
        <w:rPr>
          <w:rFonts w:ascii="Times New Roman" w:hAnsi="Times New Roman"/>
          <w:i/>
          <w:spacing w:val="-3"/>
          <w:sz w:val="28"/>
          <w:szCs w:val="28"/>
        </w:rPr>
        <w:t>Id</w:t>
      </w:r>
      <w:r w:rsidRPr="00603610">
        <w:rPr>
          <w:rFonts w:ascii="Times New Roman" w:hAnsi="Times New Roman"/>
          <w:spacing w:val="-3"/>
          <w:sz w:val="28"/>
          <w:szCs w:val="28"/>
        </w:rPr>
        <w:t xml:space="preserve">.  Subsequently, the court has allowed consideration of automatic step increases in salary which are based on length of service, </w:t>
      </w:r>
      <w:r w:rsidRPr="00603610">
        <w:rPr>
          <w:rFonts w:ascii="Times New Roman" w:hAnsi="Times New Roman"/>
          <w:i/>
          <w:spacing w:val="-3"/>
          <w:sz w:val="28"/>
          <w:szCs w:val="28"/>
        </w:rPr>
        <w:t>State v. Guinn</w:t>
      </w:r>
      <w:r w:rsidRPr="00603610">
        <w:rPr>
          <w:rFonts w:ascii="Times New Roman" w:hAnsi="Times New Roman"/>
          <w:spacing w:val="-3"/>
          <w:sz w:val="28"/>
          <w:szCs w:val="28"/>
        </w:rPr>
        <w:t xml:space="preserve">, 555 P.2d 530, 546 (Alaska 1976), and merit increases (based on increase in employee’s skills and experience) which are shown with reasonable certainty as likely to occur, </w:t>
      </w:r>
      <w:r w:rsidRPr="00603610">
        <w:rPr>
          <w:rFonts w:ascii="Times New Roman" w:hAnsi="Times New Roman"/>
          <w:i/>
          <w:spacing w:val="-3"/>
          <w:sz w:val="28"/>
          <w:szCs w:val="28"/>
        </w:rPr>
        <w:t>Alaska Airlines, Inc. v. Sweat</w:t>
      </w:r>
      <w:r w:rsidRPr="00603610">
        <w:rPr>
          <w:rFonts w:ascii="Times New Roman" w:hAnsi="Times New Roman"/>
          <w:spacing w:val="-3"/>
          <w:sz w:val="28"/>
          <w:szCs w:val="28"/>
        </w:rPr>
        <w:t xml:space="preserve">, 568 P.2d 916, 937 (Alaska 1977).  </w:t>
      </w:r>
      <w:r w:rsidRPr="00603610">
        <w:rPr>
          <w:rFonts w:ascii="Times New Roman" w:hAnsi="Times New Roman"/>
          <w:i/>
          <w:spacing w:val="-3"/>
          <w:sz w:val="28"/>
          <w:szCs w:val="28"/>
        </w:rPr>
        <w:t>Beaulieu’s</w:t>
      </w:r>
      <w:r w:rsidRPr="00603610">
        <w:rPr>
          <w:rFonts w:ascii="Times New Roman" w:hAnsi="Times New Roman"/>
          <w:spacing w:val="-3"/>
          <w:sz w:val="28"/>
          <w:szCs w:val="28"/>
        </w:rPr>
        <w:t xml:space="preserve"> reference to the non-consideration of wage increases has been limited expressly to wage increases attributable to inflation.  </w:t>
      </w:r>
      <w:r w:rsidRPr="00603610">
        <w:rPr>
          <w:rFonts w:ascii="Times New Roman" w:hAnsi="Times New Roman"/>
          <w:i/>
          <w:spacing w:val="-3"/>
          <w:sz w:val="28"/>
          <w:szCs w:val="28"/>
        </w:rPr>
        <w:t>Id</w:t>
      </w:r>
      <w:r w:rsidRPr="00603610">
        <w:rPr>
          <w:rFonts w:ascii="Times New Roman" w:hAnsi="Times New Roman"/>
          <w:spacing w:val="-3"/>
          <w:sz w:val="28"/>
          <w:szCs w:val="28"/>
        </w:rPr>
        <w:t xml:space="preserve">. at 937. In </w:t>
      </w:r>
      <w:r w:rsidRPr="00603610">
        <w:rPr>
          <w:rFonts w:ascii="Times New Roman" w:hAnsi="Times New Roman"/>
          <w:i/>
          <w:spacing w:val="-3"/>
          <w:sz w:val="28"/>
          <w:szCs w:val="28"/>
        </w:rPr>
        <w:t>State v. Harris</w:t>
      </w:r>
      <w:r w:rsidRPr="00603610">
        <w:rPr>
          <w:rFonts w:ascii="Times New Roman" w:hAnsi="Times New Roman"/>
          <w:spacing w:val="-3"/>
          <w:sz w:val="28"/>
          <w:szCs w:val="28"/>
        </w:rPr>
        <w:t xml:space="preserve">, 662 P.2d 946, 947-48 (Alaska 1983), the court held that evidence of automatic future wage increases guaranteed by contract may be admitted provided that the wage increases are attributable to factors other than inflation.  In </w:t>
      </w:r>
      <w:r w:rsidRPr="00603610">
        <w:rPr>
          <w:rFonts w:ascii="Times New Roman" w:hAnsi="Times New Roman"/>
          <w:i/>
          <w:spacing w:val="-3"/>
          <w:sz w:val="28"/>
          <w:szCs w:val="28"/>
        </w:rPr>
        <w:t>Harris</w:t>
      </w:r>
      <w:r w:rsidRPr="00603610">
        <w:rPr>
          <w:rFonts w:ascii="Times New Roman" w:hAnsi="Times New Roman"/>
          <w:spacing w:val="-3"/>
          <w:sz w:val="28"/>
          <w:szCs w:val="28"/>
        </w:rPr>
        <w:t xml:space="preserve">, plaintiff showed that the future increases were to occur independently of increases in the general wage level; the increases were fixed and certain; and the evidence did not demonstrate they were attributable primarily to inflation.  </w:t>
      </w:r>
      <w:r w:rsidRPr="00603610">
        <w:rPr>
          <w:rFonts w:ascii="Times New Roman" w:hAnsi="Times New Roman"/>
          <w:i/>
          <w:spacing w:val="-3"/>
          <w:sz w:val="28"/>
          <w:szCs w:val="28"/>
        </w:rPr>
        <w:t>Id</w:t>
      </w:r>
      <w:r w:rsidRPr="00603610">
        <w:rPr>
          <w:rFonts w:ascii="Times New Roman" w:hAnsi="Times New Roman"/>
          <w:spacing w:val="-3"/>
          <w:sz w:val="28"/>
          <w:szCs w:val="28"/>
        </w:rPr>
        <w:t>. at 948.</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two cases the Alaska Supreme Court has dealt with the issue of loss of earning capacity of persons who were not part of the wage-earning work force when they were injured.  In both cases the Court indicated that the claimants could recover for a loss of their earning capacity.  In </w:t>
      </w:r>
      <w:r w:rsidRPr="00603610">
        <w:rPr>
          <w:rFonts w:ascii="Times New Roman" w:hAnsi="Times New Roman"/>
          <w:i/>
          <w:spacing w:val="-3"/>
          <w:sz w:val="28"/>
          <w:szCs w:val="28"/>
        </w:rPr>
        <w:t>Morrison v. State</w:t>
      </w:r>
      <w:r w:rsidRPr="00603610">
        <w:rPr>
          <w:rFonts w:ascii="Times New Roman" w:hAnsi="Times New Roman"/>
          <w:spacing w:val="-3"/>
          <w:sz w:val="28"/>
          <w:szCs w:val="28"/>
        </w:rPr>
        <w:t>, 516 P.2d 402 (Alaska 1973), the trial court considered the loss of future earning capacity of a thirteen</w:t>
      </w:r>
      <w:r w:rsidR="00603610" w:rsidRPr="00603610">
        <w:rPr>
          <w:rFonts w:ascii="Times New Roman" w:hAnsi="Times New Roman"/>
          <w:spacing w:val="-3"/>
          <w:sz w:val="28"/>
          <w:szCs w:val="28"/>
        </w:rPr>
        <w:t>-</w:t>
      </w:r>
      <w:r w:rsidRPr="00603610">
        <w:rPr>
          <w:rFonts w:ascii="Times New Roman" w:hAnsi="Times New Roman"/>
          <w:spacing w:val="-3"/>
          <w:sz w:val="28"/>
          <w:szCs w:val="28"/>
        </w:rPr>
        <w:t>year</w:t>
      </w:r>
      <w:r w:rsidR="00603610" w:rsidRPr="00603610">
        <w:rPr>
          <w:rFonts w:ascii="Times New Roman" w:hAnsi="Times New Roman"/>
          <w:spacing w:val="-3"/>
          <w:sz w:val="28"/>
          <w:szCs w:val="28"/>
        </w:rPr>
        <w:t>-</w:t>
      </w:r>
      <w:r w:rsidRPr="00603610">
        <w:rPr>
          <w:rFonts w:ascii="Times New Roman" w:hAnsi="Times New Roman"/>
          <w:spacing w:val="-3"/>
          <w:sz w:val="28"/>
          <w:szCs w:val="28"/>
        </w:rPr>
        <w:t xml:space="preserve">old plaintiff.  The trial court calculated the loss based on the assumption that the plaintiff would have worked for five years earning $8,000 per year, and that after those five years in the work force, she would have been married and would have left the work force.  Under the trial court’s </w:t>
      </w:r>
      <w:proofErr w:type="gramStart"/>
      <w:r w:rsidRPr="00603610">
        <w:rPr>
          <w:rFonts w:ascii="Times New Roman" w:hAnsi="Times New Roman"/>
          <w:spacing w:val="-3"/>
          <w:sz w:val="28"/>
          <w:szCs w:val="28"/>
        </w:rPr>
        <w:t>approach</w:t>
      </w:r>
      <w:proofErr w:type="gramEnd"/>
      <w:r w:rsidRPr="00603610">
        <w:rPr>
          <w:rFonts w:ascii="Times New Roman" w:hAnsi="Times New Roman"/>
          <w:spacing w:val="-3"/>
          <w:sz w:val="28"/>
          <w:szCs w:val="28"/>
        </w:rPr>
        <w:t xml:space="preserve"> the loss of future earnings was $40,000.  The Supreme Court rejected the trial court’s approach.  The court emphasized that the issue was the plaintiff’s loss of earning capacity, i.e., the ability to earn money.  The </w:t>
      </w:r>
      <w:r w:rsidR="00466FA6">
        <w:rPr>
          <w:rFonts w:ascii="Times New Roman" w:hAnsi="Times New Roman"/>
          <w:spacing w:val="-3"/>
          <w:sz w:val="28"/>
          <w:szCs w:val="28"/>
        </w:rPr>
        <w:t>c</w:t>
      </w:r>
      <w:r w:rsidRPr="00603610">
        <w:rPr>
          <w:rFonts w:ascii="Times New Roman" w:hAnsi="Times New Roman"/>
          <w:spacing w:val="-3"/>
          <w:sz w:val="28"/>
          <w:szCs w:val="28"/>
        </w:rPr>
        <w:t xml:space="preserve">ourt indicated that a person may recover for a reduction in earning capacity even though they are not presently employed in a wage-earning job and had not made plans to be employed in a wage-earning job in the future.  Applying this analysis to the case of a housewife, the </w:t>
      </w:r>
      <w:r w:rsidR="00466FA6">
        <w:rPr>
          <w:rFonts w:ascii="Times New Roman" w:hAnsi="Times New Roman"/>
          <w:spacing w:val="-3"/>
          <w:sz w:val="28"/>
          <w:szCs w:val="28"/>
        </w:rPr>
        <w:t>c</w:t>
      </w:r>
      <w:r w:rsidRPr="00603610">
        <w:rPr>
          <w:rFonts w:ascii="Times New Roman" w:hAnsi="Times New Roman"/>
          <w:spacing w:val="-3"/>
          <w:sz w:val="28"/>
          <w:szCs w:val="28"/>
        </w:rPr>
        <w:t xml:space="preserve">ourt indicated that even if the plaintiff had not been employed before her injury and could still function as a housewife, she was entitled </w:t>
      </w:r>
      <w:r w:rsidRPr="00603610">
        <w:rPr>
          <w:rFonts w:ascii="Times New Roman" w:hAnsi="Times New Roman"/>
          <w:spacing w:val="-3"/>
          <w:sz w:val="28"/>
          <w:szCs w:val="28"/>
        </w:rPr>
        <w:lastRenderedPageBreak/>
        <w:t>to an award for impaired earning capacity because she had lost the future capacity to work in commercial enterprises.</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w:t>
      </w:r>
      <w:r w:rsidRPr="00603610">
        <w:rPr>
          <w:rFonts w:ascii="Times New Roman" w:hAnsi="Times New Roman"/>
          <w:i/>
          <w:spacing w:val="-3"/>
          <w:sz w:val="28"/>
          <w:szCs w:val="28"/>
        </w:rPr>
        <w:t xml:space="preserve">American National </w:t>
      </w:r>
      <w:proofErr w:type="spellStart"/>
      <w:r w:rsidRPr="00603610">
        <w:rPr>
          <w:rFonts w:ascii="Times New Roman" w:hAnsi="Times New Roman"/>
          <w:i/>
          <w:spacing w:val="-3"/>
          <w:sz w:val="28"/>
          <w:szCs w:val="28"/>
        </w:rPr>
        <w:t>Watermattress</w:t>
      </w:r>
      <w:proofErr w:type="spellEnd"/>
      <w:r w:rsidRPr="00603610">
        <w:rPr>
          <w:rFonts w:ascii="Times New Roman" w:hAnsi="Times New Roman"/>
          <w:i/>
          <w:spacing w:val="-3"/>
          <w:sz w:val="28"/>
          <w:szCs w:val="28"/>
        </w:rPr>
        <w:t xml:space="preserve"> Corp. v. Manville</w:t>
      </w:r>
      <w:r w:rsidRPr="00603610">
        <w:rPr>
          <w:rFonts w:ascii="Times New Roman" w:hAnsi="Times New Roman"/>
          <w:spacing w:val="-3"/>
          <w:sz w:val="28"/>
          <w:szCs w:val="28"/>
        </w:rPr>
        <w:t xml:space="preserve">, 642 P.2d 1330 (Alaska 1982), the Court relied on its decision in </w:t>
      </w:r>
      <w:r w:rsidRPr="00603610">
        <w:rPr>
          <w:rFonts w:ascii="Times New Roman" w:hAnsi="Times New Roman"/>
          <w:i/>
          <w:spacing w:val="-3"/>
          <w:sz w:val="28"/>
          <w:szCs w:val="28"/>
        </w:rPr>
        <w:t>Morrison</w:t>
      </w:r>
      <w:r w:rsidRPr="00603610">
        <w:rPr>
          <w:rFonts w:ascii="Times New Roman" w:hAnsi="Times New Roman"/>
          <w:spacing w:val="-3"/>
          <w:sz w:val="28"/>
          <w:szCs w:val="28"/>
        </w:rPr>
        <w:t xml:space="preserve"> and affirmed an award for loss of earning capacity for a woman who worked in a family-owned business for a nominal salary.  The </w:t>
      </w:r>
      <w:r w:rsidR="00466FA6">
        <w:rPr>
          <w:rFonts w:ascii="Times New Roman" w:hAnsi="Times New Roman"/>
          <w:spacing w:val="-3"/>
          <w:sz w:val="28"/>
          <w:szCs w:val="28"/>
        </w:rPr>
        <w:t>c</w:t>
      </w:r>
      <w:r w:rsidRPr="00603610">
        <w:rPr>
          <w:rFonts w:ascii="Times New Roman" w:hAnsi="Times New Roman"/>
          <w:spacing w:val="-3"/>
          <w:sz w:val="28"/>
          <w:szCs w:val="28"/>
        </w:rPr>
        <w:t xml:space="preserve">ourt described </w:t>
      </w:r>
      <w:r w:rsidRPr="00603610">
        <w:rPr>
          <w:rFonts w:ascii="Times New Roman" w:hAnsi="Times New Roman"/>
          <w:i/>
          <w:spacing w:val="-3"/>
          <w:sz w:val="28"/>
          <w:szCs w:val="28"/>
        </w:rPr>
        <w:t>Morrison</w:t>
      </w:r>
      <w:r w:rsidRPr="00603610">
        <w:rPr>
          <w:rFonts w:ascii="Times New Roman" w:hAnsi="Times New Roman"/>
          <w:spacing w:val="-3"/>
          <w:sz w:val="28"/>
          <w:szCs w:val="28"/>
        </w:rPr>
        <w:t xml:space="preserve"> as holding that a woman who voluntarily forgoes wages in the commercial market in order to work as a housewife is nevertheless entitled to an award for lost earning capacity.  Evidence considered relevant as to the claim for impairment of future earning capacity in </w:t>
      </w:r>
      <w:r w:rsidRPr="00603610">
        <w:rPr>
          <w:rFonts w:ascii="Times New Roman" w:hAnsi="Times New Roman"/>
          <w:i/>
          <w:spacing w:val="-3"/>
          <w:sz w:val="28"/>
          <w:szCs w:val="28"/>
        </w:rPr>
        <w:t>Manville</w:t>
      </w:r>
      <w:r w:rsidRPr="00603610">
        <w:rPr>
          <w:rFonts w:ascii="Times New Roman" w:hAnsi="Times New Roman"/>
          <w:spacing w:val="-3"/>
          <w:sz w:val="28"/>
          <w:szCs w:val="28"/>
        </w:rPr>
        <w:t xml:space="preserve"> included expert testimony concerning the value of the plaintiff’s services to the business, and testimony that the business was required to hire additional employees to perform her work.</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w:t>
      </w:r>
      <w:r w:rsidRPr="00603610">
        <w:rPr>
          <w:rFonts w:ascii="Times New Roman" w:hAnsi="Times New Roman"/>
          <w:i/>
          <w:spacing w:val="-3"/>
          <w:sz w:val="28"/>
          <w:szCs w:val="28"/>
        </w:rPr>
        <w:t xml:space="preserve">Dura Corp. v. </w:t>
      </w:r>
      <w:proofErr w:type="spellStart"/>
      <w:r w:rsidRPr="00603610">
        <w:rPr>
          <w:rFonts w:ascii="Times New Roman" w:hAnsi="Times New Roman"/>
          <w:i/>
          <w:spacing w:val="-3"/>
          <w:sz w:val="28"/>
          <w:szCs w:val="28"/>
        </w:rPr>
        <w:t>Harned</w:t>
      </w:r>
      <w:proofErr w:type="spellEnd"/>
      <w:r w:rsidRPr="00603610">
        <w:rPr>
          <w:rFonts w:ascii="Times New Roman" w:hAnsi="Times New Roman"/>
          <w:spacing w:val="-3"/>
          <w:sz w:val="28"/>
          <w:szCs w:val="28"/>
        </w:rPr>
        <w:t xml:space="preserve">, 703 P.2d 396 (Alaska 1986) the </w:t>
      </w:r>
      <w:r w:rsidR="00466FA6">
        <w:rPr>
          <w:rFonts w:ascii="Times New Roman" w:hAnsi="Times New Roman"/>
          <w:spacing w:val="-3"/>
          <w:sz w:val="28"/>
          <w:szCs w:val="28"/>
        </w:rPr>
        <w:t>c</w:t>
      </w:r>
      <w:r w:rsidRPr="00603610">
        <w:rPr>
          <w:rFonts w:ascii="Times New Roman" w:hAnsi="Times New Roman"/>
          <w:spacing w:val="-3"/>
          <w:sz w:val="28"/>
          <w:szCs w:val="28"/>
        </w:rPr>
        <w:t>ourt recognized another category of economic loss consisting of the loss of non-market services such as performance of household chores.  A separate instruction on this concept may be appropriate.</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determining damages for the loss in future earning capacity, the award is to be based on pre-injury life expectancy rather than on a shortened expectancy due to the injury.  This is so because the tortfeasor should not be able to reap the benefit of the victim’s shortened life occasioned by permanent injury for which the wrongdoer is responsible.  </w:t>
      </w:r>
      <w:r w:rsidRPr="00603610">
        <w:rPr>
          <w:rFonts w:ascii="Times New Roman" w:hAnsi="Times New Roman"/>
          <w:i/>
          <w:spacing w:val="-3"/>
          <w:sz w:val="28"/>
          <w:szCs w:val="28"/>
        </w:rPr>
        <w:t>Morrison v. State</w:t>
      </w:r>
      <w:r w:rsidRPr="00603610">
        <w:rPr>
          <w:rFonts w:ascii="Times New Roman" w:hAnsi="Times New Roman"/>
          <w:spacing w:val="-3"/>
          <w:sz w:val="28"/>
          <w:szCs w:val="28"/>
        </w:rPr>
        <w:t>, 516 P.2d 402, 406 (Alaska 1973) (</w:t>
      </w:r>
      <w:r w:rsidRPr="00603610">
        <w:rPr>
          <w:rFonts w:ascii="Times New Roman" w:hAnsi="Times New Roman"/>
          <w:i/>
          <w:spacing w:val="-3"/>
          <w:sz w:val="28"/>
          <w:szCs w:val="28"/>
        </w:rPr>
        <w:t>citing Restatement of Torts</w:t>
      </w:r>
      <w:r w:rsidRPr="00603610">
        <w:rPr>
          <w:rFonts w:ascii="Times New Roman" w:hAnsi="Times New Roman"/>
          <w:spacing w:val="-3"/>
          <w:sz w:val="28"/>
          <w:szCs w:val="28"/>
        </w:rPr>
        <w:t xml:space="preserve"> § 924, comment e at 635 (1939) and C.  McCormick, </w:t>
      </w:r>
      <w:r w:rsidRPr="00603610">
        <w:rPr>
          <w:rFonts w:ascii="Times New Roman" w:hAnsi="Times New Roman"/>
          <w:i/>
          <w:spacing w:val="-3"/>
          <w:sz w:val="28"/>
          <w:szCs w:val="28"/>
        </w:rPr>
        <w:t>Handbook on the Law of Damages</w:t>
      </w:r>
      <w:r w:rsidRPr="00603610">
        <w:rPr>
          <w:rFonts w:ascii="Times New Roman" w:hAnsi="Times New Roman"/>
          <w:spacing w:val="-3"/>
          <w:sz w:val="28"/>
          <w:szCs w:val="28"/>
        </w:rPr>
        <w:t xml:space="preserve"> § 86 at 303-04 (1935)</w:t>
      </w:r>
      <w:r w:rsidR="00466FA6">
        <w:rPr>
          <w:rFonts w:ascii="Times New Roman" w:hAnsi="Times New Roman"/>
          <w:spacing w:val="-3"/>
          <w:sz w:val="28"/>
          <w:szCs w:val="28"/>
        </w:rPr>
        <w:t>)</w:t>
      </w:r>
      <w:r w:rsidRPr="00603610">
        <w:rPr>
          <w:rFonts w:ascii="Times New Roman" w:hAnsi="Times New Roman"/>
          <w:spacing w:val="-3"/>
          <w:sz w:val="28"/>
          <w:szCs w:val="28"/>
        </w:rPr>
        <w:t>.</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The court has repeatedly held that future income taxes are not to be considered when awarding damages for impairment of future earning capacity.  </w:t>
      </w:r>
      <w:proofErr w:type="spellStart"/>
      <w:r w:rsidRPr="00603610">
        <w:rPr>
          <w:rFonts w:ascii="Times New Roman" w:hAnsi="Times New Roman"/>
          <w:i/>
          <w:spacing w:val="-3"/>
          <w:sz w:val="28"/>
          <w:szCs w:val="28"/>
        </w:rPr>
        <w:t>Ehredt</w:t>
      </w:r>
      <w:proofErr w:type="spellEnd"/>
      <w:r w:rsidRPr="00603610">
        <w:rPr>
          <w:rFonts w:ascii="Times New Roman" w:hAnsi="Times New Roman"/>
          <w:i/>
          <w:spacing w:val="-3"/>
          <w:sz w:val="28"/>
          <w:szCs w:val="28"/>
        </w:rPr>
        <w:t xml:space="preserve"> v. </w:t>
      </w:r>
      <w:proofErr w:type="spellStart"/>
      <w:r w:rsidRPr="00603610">
        <w:rPr>
          <w:rFonts w:ascii="Times New Roman" w:hAnsi="Times New Roman"/>
          <w:i/>
          <w:spacing w:val="-3"/>
          <w:sz w:val="28"/>
          <w:szCs w:val="28"/>
        </w:rPr>
        <w:t>DeHavilland</w:t>
      </w:r>
      <w:proofErr w:type="spellEnd"/>
      <w:r w:rsidRPr="00603610">
        <w:rPr>
          <w:rFonts w:ascii="Times New Roman" w:hAnsi="Times New Roman"/>
          <w:i/>
          <w:spacing w:val="-3"/>
          <w:sz w:val="28"/>
          <w:szCs w:val="28"/>
        </w:rPr>
        <w:t xml:space="preserve"> Aircraft Co. of Canada</w:t>
      </w:r>
      <w:r w:rsidRPr="00603610">
        <w:rPr>
          <w:rFonts w:ascii="Times New Roman" w:hAnsi="Times New Roman"/>
          <w:spacing w:val="-3"/>
          <w:sz w:val="28"/>
          <w:szCs w:val="28"/>
        </w:rPr>
        <w:t xml:space="preserve">, 705 P.2d 446, 453 (Alaska 1985); </w:t>
      </w:r>
      <w:r w:rsidRPr="00603610">
        <w:rPr>
          <w:rFonts w:ascii="Times New Roman" w:hAnsi="Times New Roman"/>
          <w:i/>
          <w:spacing w:val="-3"/>
          <w:sz w:val="28"/>
          <w:szCs w:val="28"/>
        </w:rPr>
        <w:t>City of Kotzebue v. McLean</w:t>
      </w:r>
      <w:r w:rsidRPr="00603610">
        <w:rPr>
          <w:rFonts w:ascii="Times New Roman" w:hAnsi="Times New Roman"/>
          <w:spacing w:val="-3"/>
          <w:sz w:val="28"/>
          <w:szCs w:val="28"/>
        </w:rPr>
        <w:t xml:space="preserve">, 702 P.2d 1309, 1317 (Alaska 1985); </w:t>
      </w:r>
      <w:r w:rsidRPr="00603610">
        <w:rPr>
          <w:rFonts w:ascii="Times New Roman" w:hAnsi="Times New Roman"/>
          <w:i/>
          <w:spacing w:val="-3"/>
          <w:sz w:val="28"/>
          <w:szCs w:val="28"/>
        </w:rPr>
        <w:t>Harris</w:t>
      </w:r>
      <w:r w:rsidRPr="00603610">
        <w:rPr>
          <w:rFonts w:ascii="Times New Roman" w:hAnsi="Times New Roman"/>
          <w:spacing w:val="-3"/>
          <w:sz w:val="28"/>
          <w:szCs w:val="28"/>
        </w:rPr>
        <w:t xml:space="preserve">, 662 P.2d at 948; </w:t>
      </w:r>
      <w:r w:rsidRPr="00603610">
        <w:rPr>
          <w:rFonts w:ascii="Times New Roman" w:hAnsi="Times New Roman"/>
          <w:i/>
          <w:spacing w:val="-3"/>
          <w:sz w:val="28"/>
          <w:szCs w:val="28"/>
        </w:rPr>
        <w:t>Yukon Equipment, Inc. v. Gordon</w:t>
      </w:r>
      <w:r w:rsidRPr="00603610">
        <w:rPr>
          <w:rFonts w:ascii="Times New Roman" w:hAnsi="Times New Roman"/>
          <w:spacing w:val="-3"/>
          <w:sz w:val="28"/>
          <w:szCs w:val="28"/>
        </w:rPr>
        <w:t xml:space="preserve">, 660 P.2d 428, 434-35 (Alaska 1983).  The court has indicated in dicta that prejudgment interest may be appropriate on an award of compensation for lost future earning capacity.  </w:t>
      </w:r>
      <w:r w:rsidRPr="00603610">
        <w:rPr>
          <w:rFonts w:ascii="Times New Roman" w:hAnsi="Times New Roman"/>
          <w:i/>
          <w:spacing w:val="-3"/>
          <w:sz w:val="28"/>
          <w:szCs w:val="28"/>
        </w:rPr>
        <w:t xml:space="preserve">Hertz v. </w:t>
      </w:r>
      <w:proofErr w:type="spellStart"/>
      <w:r w:rsidRPr="00603610">
        <w:rPr>
          <w:rFonts w:ascii="Times New Roman" w:hAnsi="Times New Roman"/>
          <w:i/>
          <w:spacing w:val="-3"/>
          <w:sz w:val="28"/>
          <w:szCs w:val="28"/>
        </w:rPr>
        <w:t>Berzanske</w:t>
      </w:r>
      <w:proofErr w:type="spellEnd"/>
      <w:r w:rsidRPr="00603610">
        <w:rPr>
          <w:rFonts w:ascii="Times New Roman" w:hAnsi="Times New Roman"/>
          <w:spacing w:val="-3"/>
          <w:sz w:val="28"/>
          <w:szCs w:val="28"/>
        </w:rPr>
        <w:t>, 704 P.2d 767, 773 n.9 (Alaska 1985).</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p w:rsidR="00703314" w:rsidRPr="00603610" w:rsidRDefault="00B532B4">
      <w:pPr>
        <w:widowControl/>
        <w:tabs>
          <w:tab w:val="left" w:pos="-720"/>
          <w:tab w:val="left" w:pos="1440"/>
        </w:tabs>
        <w:suppressAutoHyphens/>
        <w:jc w:val="both"/>
        <w:rPr>
          <w:rFonts w:ascii="Times New Roman" w:hAnsi="Times New Roman"/>
          <w:spacing w:val="-3"/>
          <w:sz w:val="28"/>
          <w:szCs w:val="28"/>
        </w:rPr>
      </w:pPr>
      <w:r w:rsidRPr="00603610">
        <w:rPr>
          <w:rFonts w:ascii="Times New Roman" w:hAnsi="Times New Roman"/>
          <w:spacing w:val="-3"/>
          <w:sz w:val="28"/>
          <w:szCs w:val="28"/>
        </w:rPr>
        <w:t xml:space="preserve">In </w:t>
      </w:r>
      <w:r w:rsidRPr="00603610">
        <w:rPr>
          <w:rFonts w:ascii="Times New Roman" w:hAnsi="Times New Roman"/>
          <w:i/>
          <w:spacing w:val="-3"/>
          <w:sz w:val="28"/>
          <w:szCs w:val="28"/>
        </w:rPr>
        <w:t>Grimes v. Haslett</w:t>
      </w:r>
      <w:r w:rsidRPr="00603610">
        <w:rPr>
          <w:rFonts w:ascii="Times New Roman" w:hAnsi="Times New Roman"/>
          <w:spacing w:val="-3"/>
          <w:sz w:val="28"/>
          <w:szCs w:val="28"/>
        </w:rPr>
        <w:t xml:space="preserve">, 641 P.2d 813, 818 n. 4 (Alaska 1982) the </w:t>
      </w:r>
      <w:r w:rsidR="00466FA6">
        <w:rPr>
          <w:rFonts w:ascii="Times New Roman" w:hAnsi="Times New Roman"/>
          <w:spacing w:val="-3"/>
          <w:sz w:val="28"/>
          <w:szCs w:val="28"/>
        </w:rPr>
        <w:t>c</w:t>
      </w:r>
      <w:r w:rsidRPr="00603610">
        <w:rPr>
          <w:rFonts w:ascii="Times New Roman" w:hAnsi="Times New Roman"/>
          <w:spacing w:val="-3"/>
          <w:sz w:val="28"/>
          <w:szCs w:val="28"/>
        </w:rPr>
        <w:t>ourt recommended an instruction for use in cases involving a claim for loss of future earning capacity.</w:t>
      </w:r>
    </w:p>
    <w:p w:rsidR="00703314" w:rsidRPr="00603610" w:rsidRDefault="00703314">
      <w:pPr>
        <w:widowControl/>
        <w:tabs>
          <w:tab w:val="left" w:pos="-720"/>
          <w:tab w:val="left" w:pos="1440"/>
        </w:tabs>
        <w:suppressAutoHyphens/>
        <w:jc w:val="both"/>
        <w:rPr>
          <w:rFonts w:ascii="Times New Roman" w:hAnsi="Times New Roman"/>
          <w:spacing w:val="-3"/>
          <w:sz w:val="28"/>
          <w:szCs w:val="28"/>
        </w:rPr>
      </w:pPr>
    </w:p>
    <w:sectPr w:rsidR="00703314" w:rsidRPr="0060361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14" w:rsidRDefault="00703314">
      <w:pPr>
        <w:spacing w:line="20" w:lineRule="exact"/>
      </w:pPr>
    </w:p>
  </w:endnote>
  <w:endnote w:type="continuationSeparator" w:id="0">
    <w:p w:rsidR="00703314" w:rsidRDefault="00B532B4">
      <w:r>
        <w:t xml:space="preserve"> </w:t>
      </w:r>
    </w:p>
  </w:endnote>
  <w:endnote w:type="continuationNotice" w:id="1">
    <w:p w:rsidR="00703314" w:rsidRDefault="00B532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314" w:rsidRPr="00603610" w:rsidRDefault="00603610">
    <w:pPr>
      <w:pStyle w:val="Footer"/>
      <w:rPr>
        <w:rFonts w:ascii="Times New Roman" w:hAnsi="Times New Roman"/>
      </w:rPr>
    </w:pPr>
    <w:r w:rsidRPr="00603610">
      <w:rPr>
        <w:rFonts w:ascii="Times New Roman" w:hAnsi="Times New Roman"/>
      </w:rPr>
      <w:t>Revised 2021</w:t>
    </w:r>
    <w:r w:rsidRPr="00603610">
      <w:rPr>
        <w:rFonts w:ascii="Times New Roman" w:hAnsi="Times New Roman"/>
      </w:rPr>
      <w:ptab w:relativeTo="margin" w:alignment="center" w:leader="none"/>
    </w:r>
    <w:r w:rsidRPr="00603610">
      <w:rPr>
        <w:rFonts w:ascii="Times New Roman" w:hAnsi="Times New Roman"/>
      </w:rPr>
      <w:t>20.04</w:t>
    </w:r>
    <w:r w:rsidRPr="00603610">
      <w:rPr>
        <w:rFonts w:ascii="Times New Roman" w:hAnsi="Times New Roman"/>
      </w:rPr>
      <w:ptab w:relativeTo="margin" w:alignment="right" w:leader="none"/>
    </w:r>
    <w:r w:rsidRPr="00603610">
      <w:rPr>
        <w:rFonts w:ascii="Times New Roman" w:hAnsi="Times New Roman"/>
      </w:rPr>
      <w:fldChar w:fldCharType="begin"/>
    </w:r>
    <w:r w:rsidRPr="00603610">
      <w:rPr>
        <w:rFonts w:ascii="Times New Roman" w:hAnsi="Times New Roman"/>
      </w:rPr>
      <w:instrText xml:space="preserve"> PAGE   \* MERGEFORMAT </w:instrText>
    </w:r>
    <w:r w:rsidRPr="00603610">
      <w:rPr>
        <w:rFonts w:ascii="Times New Roman" w:hAnsi="Times New Roman"/>
      </w:rPr>
      <w:fldChar w:fldCharType="separate"/>
    </w:r>
    <w:r w:rsidRPr="00603610">
      <w:rPr>
        <w:rFonts w:ascii="Times New Roman" w:hAnsi="Times New Roman"/>
        <w:noProof/>
      </w:rPr>
      <w:t>1</w:t>
    </w:r>
    <w:r w:rsidRPr="0060361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14" w:rsidRDefault="00B532B4">
      <w:r>
        <w:separator/>
      </w:r>
    </w:p>
  </w:footnote>
  <w:footnote w:type="continuationSeparator" w:id="0">
    <w:p w:rsidR="00703314" w:rsidRDefault="00B53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43"/>
    <w:rsid w:val="00382A43"/>
    <w:rsid w:val="00466FA6"/>
    <w:rsid w:val="005C4EE1"/>
    <w:rsid w:val="00603610"/>
    <w:rsid w:val="006E0A12"/>
    <w:rsid w:val="00703314"/>
    <w:rsid w:val="00B532B4"/>
    <w:rsid w:val="00B57962"/>
    <w:rsid w:val="00CB49F9"/>
    <w:rsid w:val="00D2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9F65E"/>
  <w15:docId w15:val="{4C967A2A-6394-4370-B8D8-713C861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DF7E-E172-4AD5-A57B-8B9C158C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jlee</dc:creator>
  <cp:lastModifiedBy>Hanley Robinson</cp:lastModifiedBy>
  <cp:revision>2</cp:revision>
  <cp:lastPrinted>2000-08-24T19:30:00Z</cp:lastPrinted>
  <dcterms:created xsi:type="dcterms:W3CDTF">2022-05-26T21:17:00Z</dcterms:created>
  <dcterms:modified xsi:type="dcterms:W3CDTF">2022-05-26T21:17:00Z</dcterms:modified>
</cp:coreProperties>
</file>